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C" w:rsidRPr="00FD047C" w:rsidRDefault="00FD047C" w:rsidP="00FD047C">
      <w:pPr>
        <w:shd w:val="clear" w:color="auto" w:fill="FFFFFF"/>
        <w:spacing w:after="75" w:line="375" w:lineRule="atLeast"/>
        <w:rPr>
          <w:rFonts w:ascii="Arial" w:eastAsia="Times New Roman" w:hAnsi="Arial" w:cs="Arial"/>
          <w:color w:val="000000"/>
          <w:sz w:val="33"/>
          <w:szCs w:val="33"/>
          <w:lang w:val="fr-FR"/>
        </w:rPr>
      </w:pPr>
      <w:r w:rsidRPr="00FD047C">
        <w:rPr>
          <w:rFonts w:ascii="Arial" w:eastAsia="Times New Roman" w:hAnsi="Arial" w:cs="Arial"/>
          <w:b/>
          <w:bCs/>
          <w:color w:val="000000"/>
          <w:sz w:val="33"/>
          <w:szCs w:val="33"/>
          <w:lang w:val="fr-FR"/>
        </w:rPr>
        <w:t>Maladie thromboembolique veineuse : place des nouveaux anticoagulants</w:t>
      </w:r>
    </w:p>
    <w:tbl>
      <w:tblPr>
        <w:tblW w:w="5000" w:type="pct"/>
        <w:tblCellSpacing w:w="0" w:type="dxa"/>
        <w:tblBorders>
          <w:top w:val="single" w:sz="6" w:space="0" w:color="E6E6E6"/>
          <w:bottom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353"/>
      </w:tblGrid>
      <w:tr w:rsidR="00FD047C" w:rsidRPr="00FD047C" w:rsidTr="00FD047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47C" w:rsidRPr="00FD047C" w:rsidRDefault="00FD047C" w:rsidP="00FD047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proofErr w:type="spellStart"/>
            <w:r w:rsidRPr="00FD04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Publié</w:t>
            </w:r>
            <w:proofErr w:type="spellEnd"/>
            <w:r w:rsidRPr="00FD047C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 xml:space="preserve"> le 13/12/2012</w:t>
            </w:r>
          </w:p>
        </w:tc>
        <w:tc>
          <w:tcPr>
            <w:tcW w:w="0" w:type="auto"/>
            <w:vAlign w:val="center"/>
            <w:hideMark/>
          </w:tcPr>
          <w:p w:rsidR="00FD047C" w:rsidRPr="00FD047C" w:rsidRDefault="00FD047C" w:rsidP="00FD04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047C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20DC854B" wp14:editId="46F25ECB">
                  <wp:extent cx="180975" cy="180975"/>
                  <wp:effectExtent l="0" t="0" r="9525" b="9525"/>
                  <wp:docPr id="1" name="Image 1" descr="Partager sur Twitter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tager sur Twitter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4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D047C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5B2B75B3" wp14:editId="2D4F39B5">
                  <wp:extent cx="180975" cy="180975"/>
                  <wp:effectExtent l="0" t="0" r="9525" b="9525"/>
                  <wp:docPr id="2" name="Image 2" descr="Partager sur Facebook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tager sur Facebook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4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D047C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53659AE3" wp14:editId="7BF3D0E6">
                  <wp:extent cx="209550" cy="209550"/>
                  <wp:effectExtent l="0" t="0" r="0" b="0"/>
                  <wp:docPr id="3" name="Image 3" descr="Imprimer l'articl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primer l'articl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4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D047C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53A210F9" wp14:editId="0B71FF3F">
                  <wp:extent cx="295275" cy="209550"/>
                  <wp:effectExtent l="0" t="0" r="9525" b="0"/>
                  <wp:docPr id="4" name="Image 4" descr="Envoyer à un confrèr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voyer à un confrèr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4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D047C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2F59BEBF" wp14:editId="20F77B55">
                  <wp:extent cx="266700" cy="209550"/>
                  <wp:effectExtent l="0" t="0" r="0" b="0"/>
                  <wp:docPr id="5" name="Image 5" descr="Réagir à l'artic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agir à l'articl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4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D047C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51432C77" wp14:editId="190DC11A">
                  <wp:extent cx="171450" cy="209550"/>
                  <wp:effectExtent l="0" t="0" r="0" b="0"/>
                  <wp:docPr id="6" name="Image 6" descr="Enregistrer dans ma bibliothèqu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registrer dans ma bibliothèqu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4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D047C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3FB5BD30" wp14:editId="3A27C3DD">
                  <wp:extent cx="209550" cy="209550"/>
                  <wp:effectExtent l="0" t="0" r="0" b="0"/>
                  <wp:docPr id="7" name="Image 7" descr="Reduir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duir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47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FD047C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2291BE91" wp14:editId="4C488CE1">
                  <wp:extent cx="209550" cy="209550"/>
                  <wp:effectExtent l="0" t="0" r="0" b="0"/>
                  <wp:docPr id="8" name="Image 8" descr="Agrandir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grandir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047C" w:rsidRPr="00FD047C" w:rsidRDefault="00FD047C" w:rsidP="00FD0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FD047C" w:rsidRPr="00FD047C" w:rsidTr="00FD04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047C" w:rsidRPr="00FD047C" w:rsidRDefault="00FD047C" w:rsidP="00FD04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666666"/>
                <w:sz w:val="14"/>
                <w:szCs w:val="14"/>
              </w:rPr>
            </w:pPr>
            <w:proofErr w:type="spellStart"/>
            <w:r w:rsidRPr="00FD047C">
              <w:rPr>
                <w:rFonts w:ascii="Arial" w:eastAsia="Times New Roman" w:hAnsi="Arial" w:cs="Arial"/>
                <w:i/>
                <w:iCs/>
                <w:color w:val="666666"/>
                <w:sz w:val="14"/>
                <w:szCs w:val="14"/>
              </w:rPr>
              <w:t>Publicité</w:t>
            </w:r>
            <w:proofErr w:type="spellEnd"/>
          </w:p>
        </w:tc>
      </w:tr>
      <w:tr w:rsidR="00FD047C" w:rsidRPr="00FD047C" w:rsidTr="00FD04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047C" w:rsidRPr="00FD047C" w:rsidRDefault="00FD047C" w:rsidP="00FD047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</w:rPr>
        <w:t>Yves KAGAN,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</w:rPr>
        <w:t>Fondation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</w:rPr>
        <w:t xml:space="preserve"> de Rothschild, Paris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 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Les nouveaux anticoagulants oraux, contrairement aux AVK ont une action ciblée sur un seul facteur de la cascade de l’hémostase soit le facteur 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IIa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 ou thrombine (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dabigatran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), soit le facteur 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Xa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 (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rivaroxaban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, 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apixaban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, etc.). </w:t>
      </w:r>
      <w:proofErr w:type="gram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es</w:t>
      </w:r>
      <w:proofErr w:type="gram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 nouveaux anticoagulants oraux, contrairement aux AVK ont une action ciblée sur un seul facteur de la cascade de l’hémostase soit le facteur 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IIa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 ou thrombine (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dabigatran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), soit le facteur 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Xa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 (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rivaroxaban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 xml:space="preserve">, </w:t>
      </w:r>
      <w:proofErr w:type="spellStart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apixaban</w:t>
      </w:r>
      <w:proofErr w:type="spellEnd"/>
      <w:r w:rsidRPr="00FD047C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val="fr-FR"/>
        </w:rPr>
        <w:t>, etc.).</w:t>
      </w:r>
    </w:p>
    <w:p w:rsidR="00FD047C" w:rsidRPr="00FD047C" w:rsidRDefault="00FD047C" w:rsidP="00FD047C">
      <w:pP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1E1E96"/>
          <w:kern w:val="36"/>
          <w:sz w:val="27"/>
          <w:szCs w:val="27"/>
          <w:lang w:val="fr-FR"/>
        </w:rPr>
      </w:pPr>
      <w:r w:rsidRPr="00FD047C">
        <w:rPr>
          <w:rFonts w:ascii="Arial" w:eastAsia="Times New Roman" w:hAnsi="Arial" w:cs="Arial"/>
          <w:b/>
          <w:bCs/>
          <w:color w:val="1E1E96"/>
          <w:kern w:val="36"/>
          <w:sz w:val="27"/>
          <w:szCs w:val="27"/>
          <w:lang w:val="fr-FR"/>
        </w:rPr>
        <w:t>En traitement préventif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Trois d’entre eux ont obtenu l’AMM en prévention de la chirurgie orthopédique majeure réglée : prothèse de hanche et prothèse de genou (voir </w:t>
      </w: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cidessus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). La dose est plus faible qu’en « curatif » et la durée jusqu’au 35e jour postopératoire.</w:t>
      </w:r>
    </w:p>
    <w:p w:rsidR="00FD047C" w:rsidRPr="00FD047C" w:rsidRDefault="00FD047C" w:rsidP="00FD047C">
      <w:pP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1E1E96"/>
          <w:kern w:val="36"/>
          <w:sz w:val="27"/>
          <w:szCs w:val="27"/>
          <w:lang w:val="fr-FR"/>
        </w:rPr>
      </w:pPr>
      <w:r w:rsidRPr="00FD047C">
        <w:rPr>
          <w:rFonts w:ascii="Arial" w:eastAsia="Times New Roman" w:hAnsi="Arial" w:cs="Arial"/>
          <w:b/>
          <w:bCs/>
          <w:color w:val="1E1E96"/>
          <w:kern w:val="36"/>
          <w:sz w:val="27"/>
          <w:szCs w:val="27"/>
          <w:lang w:val="fr-FR"/>
        </w:rPr>
        <w:t>En traitement « </w:t>
      </w:r>
      <w:r w:rsidRPr="00FD047C">
        <w:rPr>
          <w:rFonts w:ascii="Arial" w:eastAsia="Times New Roman" w:hAnsi="Arial" w:cs="Arial"/>
          <w:b/>
          <w:bCs/>
          <w:i/>
          <w:iCs/>
          <w:color w:val="1E1E96"/>
          <w:kern w:val="36"/>
          <w:sz w:val="27"/>
          <w:szCs w:val="27"/>
          <w:lang w:val="fr-FR"/>
        </w:rPr>
        <w:t>curatif</w:t>
      </w:r>
      <w:r w:rsidRPr="00FD047C">
        <w:rPr>
          <w:rFonts w:ascii="Arial" w:eastAsia="Times New Roman" w:hAnsi="Arial" w:cs="Arial"/>
          <w:b/>
          <w:bCs/>
          <w:color w:val="1E1E96"/>
          <w:kern w:val="36"/>
          <w:sz w:val="27"/>
          <w:szCs w:val="27"/>
          <w:lang w:val="fr-FR"/>
        </w:rPr>
        <w:t> »</w:t>
      </w:r>
    </w:p>
    <w:p w:rsidR="00FD047C" w:rsidRPr="00FD047C" w:rsidRDefault="00FD047C" w:rsidP="00FD047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</w:pPr>
      <w:r w:rsidRPr="00FD047C"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  <w:t>Une utilisation plus facile que pour les AVK I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Ils ont des caractéristiques pharmacologiques qui leur confèrent des avantages et des inconvénients (tableau).</w:t>
      </w:r>
    </w:p>
    <w:p w:rsidR="00FD047C" w:rsidRPr="00FD047C" w:rsidRDefault="00FD047C" w:rsidP="00FD047C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FD047C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3E1D4F4B" wp14:editId="0577B569">
            <wp:extent cx="5638800" cy="3286125"/>
            <wp:effectExtent l="0" t="0" r="0" b="9525"/>
            <wp:docPr id="9" name="Image 9" descr="http://www.jim.fr/e-docs/00/02/13/6C/media_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jim.fr/e-docs/00/02/13/6C/media_tableau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En pratique, en respectant la contre-indication de l’insuffisance rénale sévère et en étant attentif à l’observance, les avantages l’emportent sur les AVK en termes de facilité d’emploi.</w:t>
      </w:r>
    </w:p>
    <w:p w:rsidR="00FD047C" w:rsidRPr="00FD047C" w:rsidRDefault="00FD047C" w:rsidP="00FD047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</w:pPr>
      <w:r w:rsidRPr="00FD047C"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  <w:t>Sont-ils plus avantageux que le traitement conventionnel ?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lastRenderedPageBreak/>
        <w:t>S’ils sont plus commodes que le traitement conventionnel, sont-ils plus avantageux en termes de :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– risque de récidive d’ETEV </w:t>
      </w:r>
      <w:proofErr w:type="gram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;</w:t>
      </w:r>
      <w:proofErr w:type="gram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>– risque d’accident hémorragique. Ici seules les études cliniques peuvent répondre.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Dans le contexte de la MTEV, on ne peut se baser actuellement que sur les résultats de l’étude EINSTEIN, qui a permis au </w:t>
      </w: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rivaroxaban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 (anti-</w:t>
      </w: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Xa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) d’avoir l’AMM en prévention de récidive après une TVP (sans embolie pulmonaire). Il ne sera donc ici question que du </w:t>
      </w: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rivaroxaban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, administré dans cette étude à la dose de 30 mg/j en deux prises durant les 3 premières semaines, puis 20 mg/j en une prise au-delà. Les risques de récidive d’ETEV et d’accident hémorragique, notamment d’accident sévère, n’ont pas été supérieurs à ceux du traitement conventionnel (</w:t>
      </w: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énoxaparine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 puis relais AVK).</w:t>
      </w:r>
    </w:p>
    <w:p w:rsidR="00FD047C" w:rsidRPr="00FD047C" w:rsidRDefault="00FD047C" w:rsidP="00FD047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</w:pPr>
      <w:r w:rsidRPr="00FD047C"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  <w:t xml:space="preserve">Peut-on prescrire le </w:t>
      </w:r>
      <w:proofErr w:type="spellStart"/>
      <w:r w:rsidRPr="00FD047C"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  <w:t>rivaroxaban</w:t>
      </w:r>
      <w:proofErr w:type="spellEnd"/>
      <w:r w:rsidRPr="00FD047C"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  <w:t xml:space="preserve"> dans la population âgée ?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L’étude EINSTEIN a concerné des sujets âgés de 56 ans en moyenne et un petit nombre de sujets &gt; 75 ans et dont la fonction rénale était normale 3 fois sur 4. Or, dans la vie courante, ce sont précisément parmi ces sujets âgés, fragiles, </w:t>
      </w: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polypathologiques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 que surviennent la majorité des cas de MTEV et que le risque hémorragique est le plus élevé, notamment d’hémorragies graves, dont les hémorragies cérébrales redoutées par tout clinicien.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En même temps, il existe des arguments encourageants :</w:t>
      </w:r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– l’extension de l’étude EINSTEIN étudiant la tolérance au long cours du </w:t>
      </w: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rivaroxaban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 jusqu’à 2 ans versus placebo ne montre pas d’augmentation du risque d’hémorragies majeures </w:t>
      </w:r>
      <w:proofErr w:type="gram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;</w:t>
      </w:r>
      <w:proofErr w:type="gram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 xml:space="preserve">– la tolérance du </w:t>
      </w: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rivaroxaban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 dans la grande étude ROCKET au cours de la FA, ayant inclus 6 000 patients &gt; 75 ans, a montré moins d’hémorragies intracérébrales et/ou létales qu’avec les AVK. Des études menées spécifiquement dans les populations âgées fragiles et </w:t>
      </w:r>
      <w:proofErr w:type="spell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polypathologiques</w:t>
      </w:r>
      <w:proofErr w:type="spell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 avec une dose adaptée à la fonction rénale, testant ainsi le risque de récidive d’ETEV, sont donc nécessaires. Par ailleurs, des registres d’évaluation du risque hémorragique avec les nouveaux anticoagulants sont attendus notamment chez les patients à risque : âgés, avec une fonction rénale altérée, un petit poids.</w:t>
      </w:r>
    </w:p>
    <w:p w:rsidR="00FD047C" w:rsidRPr="00FD047C" w:rsidRDefault="00FD047C" w:rsidP="00FD047C">
      <w:pP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1E1E96"/>
          <w:kern w:val="36"/>
          <w:sz w:val="27"/>
          <w:szCs w:val="27"/>
          <w:lang w:val="fr-FR"/>
        </w:rPr>
      </w:pPr>
      <w:r w:rsidRPr="00FD047C">
        <w:rPr>
          <w:rFonts w:ascii="Arial" w:eastAsia="Times New Roman" w:hAnsi="Arial" w:cs="Arial"/>
          <w:b/>
          <w:bCs/>
          <w:color w:val="1E1E96"/>
          <w:kern w:val="36"/>
          <w:sz w:val="27"/>
          <w:szCs w:val="27"/>
          <w:lang w:val="fr-FR"/>
        </w:rPr>
        <w:t>Apprendre à bien utiliser les nouveaux anticoagulants</w:t>
      </w:r>
    </w:p>
    <w:p w:rsidR="00FD047C" w:rsidRPr="00FD047C" w:rsidRDefault="00FD047C" w:rsidP="00FD047C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</w:pPr>
      <w:r w:rsidRPr="00FD047C">
        <w:rPr>
          <w:rFonts w:ascii="Arial" w:eastAsia="Times New Roman" w:hAnsi="Arial" w:cs="Arial"/>
          <w:b/>
          <w:bCs/>
          <w:color w:val="1E1E96"/>
          <w:sz w:val="21"/>
          <w:szCs w:val="21"/>
          <w:lang w:val="fr-FR"/>
        </w:rPr>
        <w:t>Respecter les règles de prudence</w:t>
      </w:r>
      <w:bookmarkStart w:id="0" w:name="_GoBack"/>
      <w:bookmarkEnd w:id="0"/>
    </w:p>
    <w:p w:rsidR="00FD047C" w:rsidRPr="00FD047C" w:rsidRDefault="00FD047C" w:rsidP="00FD047C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• Aucun nouvel anticoagulant n’a encore l’AMM dans les suites d’une embolie pulmonaire.</w:t>
      </w: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>• Sous prétexte d’un traitement particulièrement facile à mener, il ne faut pas banaliser la MTEV, pathologie grave par son double risque de récidive thromboembolique et hémorragique iatrogène. Le diagnostic de TVP doit donc être prouvé le plus rapidement possible.</w:t>
      </w:r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>• Contre-indication en cas de clairance de la créatinine &lt; 30 ml/min</w:t>
      </w:r>
      <w:proofErr w:type="gramStart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t>.</w:t>
      </w:r>
      <w:proofErr w:type="gramEnd"/>
      <w:r w:rsidRPr="00FD047C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>• Il faut toujours dépister des troubles cognitifs et apprécier l’observance (en cas d’oubli, le patient n’est plus protégé).</w:t>
      </w:r>
    </w:p>
    <w:p w:rsidR="00FD047C" w:rsidRPr="00FD047C" w:rsidRDefault="00FD047C" w:rsidP="00FD04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</w:p>
    <w:p w:rsidR="00FD047C" w:rsidRPr="00FD047C" w:rsidRDefault="00FD047C" w:rsidP="00FD047C">
      <w:pPr>
        <w:shd w:val="clear" w:color="auto" w:fill="FFFFFF"/>
        <w:spacing w:after="75" w:line="240" w:lineRule="auto"/>
        <w:jc w:val="right"/>
        <w:rPr>
          <w:rFonts w:ascii="Arial" w:eastAsia="Times New Roman" w:hAnsi="Arial" w:cs="Arial"/>
          <w:color w:val="999999"/>
          <w:sz w:val="18"/>
          <w:szCs w:val="18"/>
          <w:lang w:val="fr-FR"/>
        </w:rPr>
      </w:pPr>
      <w:r w:rsidRPr="00FD047C">
        <w:rPr>
          <w:rFonts w:ascii="Arial" w:eastAsia="Times New Roman" w:hAnsi="Arial" w:cs="Arial"/>
          <w:color w:val="999999"/>
          <w:sz w:val="18"/>
          <w:szCs w:val="18"/>
          <w:lang w:val="fr-FR"/>
        </w:rPr>
        <w:t xml:space="preserve">Copyright © Len </w:t>
      </w:r>
      <w:proofErr w:type="spellStart"/>
      <w:r w:rsidRPr="00FD047C">
        <w:rPr>
          <w:rFonts w:ascii="Arial" w:eastAsia="Times New Roman" w:hAnsi="Arial" w:cs="Arial"/>
          <w:color w:val="999999"/>
          <w:sz w:val="18"/>
          <w:szCs w:val="18"/>
          <w:lang w:val="fr-FR"/>
        </w:rPr>
        <w:t>medical</w:t>
      </w:r>
      <w:proofErr w:type="spellEnd"/>
      <w:r w:rsidRPr="00FD047C">
        <w:rPr>
          <w:rFonts w:ascii="Arial" w:eastAsia="Times New Roman" w:hAnsi="Arial" w:cs="Arial"/>
          <w:color w:val="999999"/>
          <w:sz w:val="18"/>
          <w:szCs w:val="18"/>
          <w:lang w:val="fr-FR"/>
        </w:rPr>
        <w:t xml:space="preserve">, </w:t>
      </w:r>
      <w:proofErr w:type="spellStart"/>
      <w:r w:rsidRPr="00FD047C">
        <w:rPr>
          <w:rFonts w:ascii="Arial" w:eastAsia="Times New Roman" w:hAnsi="Arial" w:cs="Arial"/>
          <w:color w:val="999999"/>
          <w:sz w:val="18"/>
          <w:szCs w:val="18"/>
          <w:lang w:val="fr-FR"/>
        </w:rPr>
        <w:t>Gerontologie</w:t>
      </w:r>
      <w:proofErr w:type="spellEnd"/>
      <w:r w:rsidRPr="00FD047C">
        <w:rPr>
          <w:rFonts w:ascii="Arial" w:eastAsia="Times New Roman" w:hAnsi="Arial" w:cs="Arial"/>
          <w:color w:val="999999"/>
          <w:sz w:val="18"/>
          <w:szCs w:val="18"/>
          <w:lang w:val="fr-FR"/>
        </w:rPr>
        <w:t xml:space="preserve"> pratique, novembre 2012</w:t>
      </w:r>
    </w:p>
    <w:p w:rsidR="00C20235" w:rsidRPr="00FD047C" w:rsidRDefault="00FD047C">
      <w:pPr>
        <w:rPr>
          <w:lang w:val="fr-FR"/>
        </w:rPr>
      </w:pPr>
    </w:p>
    <w:sectPr w:rsidR="00C20235" w:rsidRPr="00FD04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07"/>
    <w:rsid w:val="00621C32"/>
    <w:rsid w:val="00970A17"/>
    <w:rsid w:val="00A46807"/>
    <w:rsid w:val="00B24E4D"/>
    <w:rsid w:val="00F15D02"/>
    <w:rsid w:val="00F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29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im.fr/mail/reagir.phtml?cle_doc=136044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facebook.com/sharer.php?u=http://www.jim.fr/e-docs/00/02/13/6C/document_mise_point.phtml" TargetMode="External"/><Relationship Id="rId12" Type="http://schemas.openxmlformats.org/officeDocument/2006/relationships/image" Target="media/image4.gif"/><Relationship Id="rId17" Type="http://schemas.openxmlformats.org/officeDocument/2006/relationships/hyperlink" Target="javascript:selectStyleSheet(-2);;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im.fr/mail/index.phtml?url=http://www.jim.fr/e-docs/00/02/13/6C/document_mise_point.phtml" TargetMode="External"/><Relationship Id="rId5" Type="http://schemas.openxmlformats.org/officeDocument/2006/relationships/hyperlink" Target="http://twitter.com/intent/tweet?text=Maladie+thromboembolique+veineuse+:+place+des+nouveaux+anticoagulants+:+http://www.jim.fr/2136C" TargetMode="External"/><Relationship Id="rId15" Type="http://schemas.openxmlformats.org/officeDocument/2006/relationships/hyperlink" Target="http://www.jim.fr/e-docs/00/02/13/6C/enreg_biblio.p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javascript:selectStyleSheet(2);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m.fr/print/e-docs/00/02/13/6C/document_mise_point.phtml" TargetMode="External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2012-12-20T16:14:00Z</dcterms:created>
  <dcterms:modified xsi:type="dcterms:W3CDTF">2012-12-20T16:17:00Z</dcterms:modified>
</cp:coreProperties>
</file>