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4B" w:rsidRDefault="006D094B" w:rsidP="006D094B">
      <w:pPr>
        <w:pStyle w:val="NormalWeb"/>
        <w:shd w:val="clear" w:color="auto" w:fill="FFFFFF"/>
        <w:rPr>
          <w:rFonts w:ascii="Arial" w:hAnsi="Arial" w:cs="Arial"/>
          <w:color w:val="000000"/>
          <w:sz w:val="19"/>
          <w:szCs w:val="19"/>
        </w:rPr>
      </w:pPr>
      <w:r>
        <w:rPr>
          <w:rFonts w:ascii="OTNEJMQuadraat" w:hAnsi="OTNEJMQuadraat" w:cs="Arial"/>
          <w:color w:val="000000"/>
          <w:sz w:val="36"/>
          <w:szCs w:val="36"/>
        </w:rPr>
        <w:t>Aspirin for Preventing the Recurrence of Venous</w:t>
      </w:r>
    </w:p>
    <w:p w:rsidR="006D094B" w:rsidRDefault="006D094B" w:rsidP="006D094B">
      <w:pPr>
        <w:pStyle w:val="NormalWeb"/>
        <w:shd w:val="clear" w:color="auto" w:fill="FFFFFF"/>
        <w:rPr>
          <w:rFonts w:ascii="Arial" w:hAnsi="Arial" w:cs="Arial"/>
          <w:color w:val="000000"/>
          <w:sz w:val="19"/>
          <w:szCs w:val="19"/>
        </w:rPr>
      </w:pPr>
      <w:r>
        <w:rPr>
          <w:rFonts w:ascii="OTNEJMQuadraat" w:hAnsi="OTNEJMQuadraat" w:cs="Arial"/>
          <w:color w:val="000000"/>
          <w:sz w:val="36"/>
          <w:szCs w:val="36"/>
        </w:rPr>
        <w:t>Thromboembolism</w:t>
      </w:r>
    </w:p>
    <w:p w:rsidR="006D094B" w:rsidRDefault="006D094B" w:rsidP="006D094B">
      <w:pPr>
        <w:pStyle w:val="NormalWeb"/>
        <w:shd w:val="clear" w:color="auto" w:fill="FFFFFF"/>
        <w:rPr>
          <w:rFonts w:ascii="Arial" w:hAnsi="Arial" w:cs="Arial"/>
          <w:color w:val="000000"/>
          <w:sz w:val="19"/>
          <w:szCs w:val="19"/>
        </w:rPr>
      </w:pPr>
      <w:r>
        <w:rPr>
          <w:rFonts w:ascii="OTNEJMScalaSansLF" w:hAnsi="OTNEJMScalaSansLF" w:cs="Arial"/>
          <w:color w:val="000000"/>
          <w:sz w:val="20"/>
          <w:szCs w:val="20"/>
        </w:rPr>
        <w:t xml:space="preserve">Cecilia </w:t>
      </w:r>
      <w:proofErr w:type="spellStart"/>
      <w:r>
        <w:rPr>
          <w:rFonts w:ascii="OTNEJMScalaSansLF" w:hAnsi="OTNEJMScalaSansLF" w:cs="Arial"/>
          <w:color w:val="000000"/>
          <w:sz w:val="20"/>
          <w:szCs w:val="20"/>
        </w:rPr>
        <w:t>Becattini</w:t>
      </w:r>
      <w:proofErr w:type="spellEnd"/>
      <w:r>
        <w:rPr>
          <w:rFonts w:ascii="OTNEJMScalaSansLF" w:hAnsi="OTNEJMScalaSansLF" w:cs="Arial"/>
          <w:color w:val="000000"/>
          <w:sz w:val="20"/>
          <w:szCs w:val="20"/>
        </w:rPr>
        <w:t xml:space="preserve">, M.D., Ph.D., Giancarlo </w:t>
      </w:r>
      <w:proofErr w:type="spellStart"/>
      <w:r>
        <w:rPr>
          <w:rFonts w:ascii="OTNEJMScalaSansLF" w:hAnsi="OTNEJMScalaSansLF" w:cs="Arial"/>
          <w:color w:val="000000"/>
          <w:sz w:val="20"/>
          <w:szCs w:val="20"/>
        </w:rPr>
        <w:t>Agnelli</w:t>
      </w:r>
      <w:proofErr w:type="spellEnd"/>
      <w:r>
        <w:rPr>
          <w:rFonts w:ascii="OTNEJMScalaSansLF" w:hAnsi="OTNEJMScalaSansLF" w:cs="Arial"/>
          <w:color w:val="000000"/>
          <w:sz w:val="20"/>
          <w:szCs w:val="20"/>
        </w:rPr>
        <w:t xml:space="preserve">, M.D., Alessandro </w:t>
      </w:r>
      <w:proofErr w:type="spellStart"/>
      <w:r>
        <w:rPr>
          <w:rFonts w:ascii="OTNEJMScalaSansLF" w:hAnsi="OTNEJMScalaSansLF" w:cs="Arial"/>
          <w:color w:val="000000"/>
          <w:sz w:val="20"/>
          <w:szCs w:val="20"/>
        </w:rPr>
        <w:t>Schenone</w:t>
      </w:r>
      <w:proofErr w:type="spellEnd"/>
      <w:r>
        <w:rPr>
          <w:rFonts w:ascii="OTNEJMScalaSansLF" w:hAnsi="OTNEJMScalaSansLF" w:cs="Arial"/>
          <w:color w:val="000000"/>
          <w:sz w:val="20"/>
          <w:szCs w:val="20"/>
        </w:rPr>
        <w:t xml:space="preserve">, M.D., Sabine </w:t>
      </w:r>
      <w:proofErr w:type="spellStart"/>
      <w:r>
        <w:rPr>
          <w:rFonts w:ascii="OTNEJMScalaSansLF" w:hAnsi="OTNEJMScalaSansLF" w:cs="Arial"/>
          <w:color w:val="000000"/>
          <w:sz w:val="20"/>
          <w:szCs w:val="20"/>
        </w:rPr>
        <w:t>Eichinger</w:t>
      </w:r>
      <w:proofErr w:type="spellEnd"/>
      <w:r>
        <w:rPr>
          <w:rFonts w:ascii="OTNEJMScalaSansLF" w:hAnsi="OTNEJMScalaSansLF" w:cs="Arial"/>
          <w:color w:val="000000"/>
          <w:sz w:val="20"/>
          <w:szCs w:val="20"/>
        </w:rPr>
        <w:t xml:space="preserve">, M.D., Eugenio </w:t>
      </w:r>
      <w:proofErr w:type="spellStart"/>
      <w:r>
        <w:rPr>
          <w:rFonts w:ascii="OTNEJMScalaSansLF" w:hAnsi="OTNEJMScalaSansLF" w:cs="Arial"/>
          <w:color w:val="000000"/>
          <w:sz w:val="20"/>
          <w:szCs w:val="20"/>
        </w:rPr>
        <w:t>Bucherini</w:t>
      </w:r>
      <w:proofErr w:type="spellEnd"/>
      <w:r>
        <w:rPr>
          <w:rFonts w:ascii="OTNEJMScalaSansLF" w:hAnsi="OTNEJMScalaSansLF" w:cs="Arial"/>
          <w:color w:val="000000"/>
          <w:sz w:val="20"/>
          <w:szCs w:val="20"/>
        </w:rPr>
        <w:t xml:space="preserve">, M.D., Mauro </w:t>
      </w:r>
      <w:proofErr w:type="spellStart"/>
      <w:r>
        <w:rPr>
          <w:rFonts w:ascii="OTNEJMScalaSansLF" w:hAnsi="OTNEJMScalaSansLF" w:cs="Arial"/>
          <w:color w:val="000000"/>
          <w:sz w:val="20"/>
          <w:szCs w:val="20"/>
        </w:rPr>
        <w:t>Silingardi</w:t>
      </w:r>
      <w:proofErr w:type="spellEnd"/>
      <w:r>
        <w:rPr>
          <w:rFonts w:ascii="OTNEJMScalaSansLF" w:hAnsi="OTNEJMScalaSansLF" w:cs="Arial"/>
          <w:color w:val="000000"/>
          <w:sz w:val="20"/>
          <w:szCs w:val="20"/>
        </w:rPr>
        <w:t xml:space="preserve">, M.D., Marina Bianchi, M.D., Marco </w:t>
      </w:r>
      <w:proofErr w:type="spellStart"/>
      <w:r>
        <w:rPr>
          <w:rFonts w:ascii="OTNEJMScalaSansLF" w:hAnsi="OTNEJMScalaSansLF" w:cs="Arial"/>
          <w:color w:val="000000"/>
          <w:sz w:val="20"/>
          <w:szCs w:val="20"/>
        </w:rPr>
        <w:t>Moia</w:t>
      </w:r>
      <w:proofErr w:type="spellEnd"/>
      <w:r>
        <w:rPr>
          <w:rFonts w:ascii="OTNEJMScalaSansLF" w:hAnsi="OTNEJMScalaSansLF" w:cs="Arial"/>
          <w:color w:val="000000"/>
          <w:sz w:val="20"/>
          <w:szCs w:val="20"/>
        </w:rPr>
        <w:t xml:space="preserve">, M.D., Walter </w:t>
      </w:r>
      <w:proofErr w:type="spellStart"/>
      <w:r>
        <w:rPr>
          <w:rFonts w:ascii="OTNEJMScalaSansLF" w:hAnsi="OTNEJMScalaSansLF" w:cs="Arial"/>
          <w:color w:val="000000"/>
          <w:sz w:val="20"/>
          <w:szCs w:val="20"/>
        </w:rPr>
        <w:t>Ageno</w:t>
      </w:r>
      <w:proofErr w:type="spellEnd"/>
      <w:r>
        <w:rPr>
          <w:rFonts w:ascii="OTNEJMScalaSansLF" w:hAnsi="OTNEJMScalaSansLF" w:cs="Arial"/>
          <w:color w:val="000000"/>
          <w:sz w:val="20"/>
          <w:szCs w:val="20"/>
        </w:rPr>
        <w:t xml:space="preserve">, M.D., Maria Rita </w:t>
      </w:r>
      <w:proofErr w:type="spellStart"/>
      <w:r>
        <w:rPr>
          <w:rFonts w:ascii="OTNEJMScalaSansLF" w:hAnsi="OTNEJMScalaSansLF" w:cs="Arial"/>
          <w:color w:val="000000"/>
          <w:sz w:val="20"/>
          <w:szCs w:val="20"/>
        </w:rPr>
        <w:t>Vandelli</w:t>
      </w:r>
      <w:proofErr w:type="spellEnd"/>
      <w:r>
        <w:rPr>
          <w:rFonts w:ascii="OTNEJMScalaSansLF" w:hAnsi="OTNEJMScalaSansLF" w:cs="Arial"/>
          <w:color w:val="000000"/>
          <w:sz w:val="20"/>
          <w:szCs w:val="20"/>
        </w:rPr>
        <w:t xml:space="preserve">, M.D., Elvira </w:t>
      </w:r>
      <w:proofErr w:type="spellStart"/>
      <w:r>
        <w:rPr>
          <w:rFonts w:ascii="OTNEJMScalaSansLF" w:hAnsi="OTNEJMScalaSansLF" w:cs="Arial"/>
          <w:color w:val="000000"/>
          <w:sz w:val="20"/>
          <w:szCs w:val="20"/>
        </w:rPr>
        <w:t>Grandone</w:t>
      </w:r>
      <w:proofErr w:type="spellEnd"/>
      <w:r>
        <w:rPr>
          <w:rFonts w:ascii="OTNEJMScalaSansLF" w:hAnsi="OTNEJMScalaSansLF" w:cs="Arial"/>
          <w:color w:val="000000"/>
          <w:sz w:val="20"/>
          <w:szCs w:val="20"/>
        </w:rPr>
        <w:t xml:space="preserve">, M.D., and Paolo </w:t>
      </w:r>
      <w:proofErr w:type="spellStart"/>
      <w:r>
        <w:rPr>
          <w:rFonts w:ascii="OTNEJMScalaSansLF" w:hAnsi="OTNEJMScalaSansLF" w:cs="Arial"/>
          <w:color w:val="000000"/>
          <w:sz w:val="20"/>
          <w:szCs w:val="20"/>
        </w:rPr>
        <w:t>Prandoni</w:t>
      </w:r>
      <w:proofErr w:type="spellEnd"/>
      <w:r>
        <w:rPr>
          <w:rFonts w:ascii="OTNEJMScalaSansLF" w:hAnsi="OTNEJMScalaSansLF" w:cs="Arial"/>
          <w:color w:val="000000"/>
          <w:sz w:val="20"/>
          <w:szCs w:val="20"/>
        </w:rPr>
        <w:t>, M.D., Ph.D., for the WARFASA Investigators*</w:t>
      </w:r>
    </w:p>
    <w:p w:rsidR="006D094B" w:rsidRDefault="006D094B" w:rsidP="006D094B">
      <w:pPr>
        <w:pStyle w:val="NormalWeb"/>
        <w:shd w:val="clear" w:color="auto" w:fill="FFFFFF"/>
        <w:rPr>
          <w:rFonts w:ascii="Arial" w:hAnsi="Arial" w:cs="Arial"/>
          <w:color w:val="000000"/>
          <w:sz w:val="19"/>
          <w:szCs w:val="19"/>
        </w:rPr>
      </w:pPr>
      <w:r>
        <w:rPr>
          <w:rFonts w:ascii="OTNEJMScalaSansLF" w:hAnsi="OTNEJMScalaSansLF" w:cs="Arial"/>
          <w:color w:val="000000"/>
          <w:sz w:val="20"/>
          <w:szCs w:val="20"/>
        </w:rPr>
        <w:t> </w:t>
      </w:r>
      <w:r>
        <w:rPr>
          <w:rFonts w:ascii="OTNEJMScalaSansLF" w:hAnsi="OTNEJMScalaSansLF" w:cs="Arial"/>
          <w:color w:val="000000"/>
          <w:sz w:val="14"/>
          <w:szCs w:val="14"/>
        </w:rPr>
        <w:t xml:space="preserve">N </w:t>
      </w:r>
      <w:proofErr w:type="spellStart"/>
      <w:r>
        <w:rPr>
          <w:rFonts w:ascii="OTNEJMScalaSansLF" w:hAnsi="OTNEJMScalaSansLF" w:cs="Arial"/>
          <w:color w:val="000000"/>
          <w:sz w:val="14"/>
          <w:szCs w:val="14"/>
        </w:rPr>
        <w:t>Engl</w:t>
      </w:r>
      <w:proofErr w:type="spellEnd"/>
      <w:r>
        <w:rPr>
          <w:rFonts w:ascii="OTNEJMScalaSansLF" w:hAnsi="OTNEJMScalaSansLF" w:cs="Arial"/>
          <w:color w:val="000000"/>
          <w:sz w:val="14"/>
          <w:szCs w:val="14"/>
        </w:rPr>
        <w:t xml:space="preserve"> J Med 2012</w:t>
      </w:r>
      <w:proofErr w:type="gramStart"/>
      <w:r>
        <w:rPr>
          <w:rFonts w:ascii="OTNEJMScalaSansLF" w:hAnsi="OTNEJMScalaSansLF" w:cs="Arial"/>
          <w:color w:val="000000"/>
          <w:sz w:val="14"/>
          <w:szCs w:val="14"/>
        </w:rPr>
        <w:t>;366:1959</w:t>
      </w:r>
      <w:proofErr w:type="gramEnd"/>
      <w:r>
        <w:rPr>
          <w:rFonts w:ascii="OTNEJMScalaSansLF" w:hAnsi="OTNEJMScalaSansLF" w:cs="Arial"/>
          <w:color w:val="000000"/>
          <w:sz w:val="14"/>
          <w:szCs w:val="14"/>
        </w:rPr>
        <w:t>-67.</w:t>
      </w:r>
    </w:p>
    <w:p w:rsidR="006D094B" w:rsidRDefault="006D094B" w:rsidP="006D094B">
      <w:pPr>
        <w:pStyle w:val="NormalWeb"/>
        <w:shd w:val="clear" w:color="auto" w:fill="FFFFFF"/>
        <w:rPr>
          <w:rFonts w:ascii="Arial" w:hAnsi="Arial" w:cs="Arial"/>
          <w:color w:val="000000"/>
          <w:sz w:val="19"/>
          <w:szCs w:val="19"/>
        </w:rPr>
      </w:pPr>
      <w:r>
        <w:rPr>
          <w:rFonts w:ascii="OTNEJMScalaSansLF" w:hAnsi="OTNEJMScalaSansLF" w:cs="Arial"/>
          <w:color w:val="000000"/>
          <w:sz w:val="14"/>
          <w:szCs w:val="14"/>
        </w:rPr>
        <w:t> </w:t>
      </w:r>
      <w:hyperlink r:id="rId5" w:tgtFrame="_blank" w:history="1">
        <w:r>
          <w:rPr>
            <w:rStyle w:val="Lienhypertexte"/>
            <w:rFonts w:ascii="Arial" w:hAnsi="Arial" w:cs="Arial"/>
            <w:color w:val="1155CC"/>
            <w:sz w:val="19"/>
            <w:szCs w:val="19"/>
          </w:rPr>
          <w:t>http://www.nejm.org/doi/pdf/10.1056/NEJMoa1114238</w:t>
        </w:r>
      </w:hyperlink>
    </w:p>
    <w:p w:rsidR="006D094B" w:rsidRPr="006D094B" w:rsidRDefault="006D094B" w:rsidP="00A77B55">
      <w:pPr>
        <w:shd w:val="clear" w:color="auto" w:fill="FFFFFF"/>
        <w:spacing w:after="75" w:line="375" w:lineRule="atLeast"/>
        <w:rPr>
          <w:rFonts w:ascii="Arial" w:eastAsia="Times New Roman" w:hAnsi="Arial" w:cs="Arial"/>
          <w:b/>
          <w:bCs/>
          <w:color w:val="000000"/>
          <w:sz w:val="33"/>
          <w:szCs w:val="33"/>
        </w:rPr>
      </w:pPr>
      <w:bookmarkStart w:id="0" w:name="_GoBack"/>
      <w:bookmarkEnd w:id="0"/>
    </w:p>
    <w:p w:rsidR="006D094B" w:rsidRPr="006D094B" w:rsidRDefault="006D094B" w:rsidP="00A77B55">
      <w:pPr>
        <w:shd w:val="clear" w:color="auto" w:fill="FFFFFF"/>
        <w:spacing w:after="75" w:line="375" w:lineRule="atLeast"/>
        <w:rPr>
          <w:rFonts w:ascii="Arial" w:eastAsia="Times New Roman" w:hAnsi="Arial" w:cs="Arial"/>
          <w:b/>
          <w:bCs/>
          <w:color w:val="000000"/>
          <w:sz w:val="33"/>
          <w:szCs w:val="33"/>
        </w:rPr>
      </w:pPr>
    </w:p>
    <w:p w:rsidR="00A77B55" w:rsidRPr="00A77B55" w:rsidRDefault="00A77B55" w:rsidP="00A77B55">
      <w:pPr>
        <w:shd w:val="clear" w:color="auto" w:fill="FFFFFF"/>
        <w:spacing w:after="75" w:line="375" w:lineRule="atLeast"/>
        <w:rPr>
          <w:rFonts w:ascii="Arial" w:eastAsia="Times New Roman" w:hAnsi="Arial" w:cs="Arial"/>
          <w:color w:val="000000"/>
          <w:sz w:val="33"/>
          <w:szCs w:val="33"/>
          <w:lang w:val="fr-FR"/>
        </w:rPr>
      </w:pPr>
      <w:r w:rsidRPr="00A77B55">
        <w:rPr>
          <w:rFonts w:ascii="Arial" w:eastAsia="Times New Roman" w:hAnsi="Arial" w:cs="Arial"/>
          <w:b/>
          <w:bCs/>
          <w:color w:val="000000"/>
          <w:sz w:val="33"/>
          <w:szCs w:val="33"/>
          <w:lang w:val="fr-FR"/>
        </w:rPr>
        <w:t>Nouveaux anticoagulants oraux au long cours après un accident thrombo-embolique, vraiment séduisants ?</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4408"/>
        <w:gridCol w:w="4998"/>
      </w:tblGrid>
      <w:tr w:rsidR="00A77B55" w:rsidRPr="00A77B55" w:rsidTr="00A77B55">
        <w:trPr>
          <w:tblCellSpacing w:w="0" w:type="dxa"/>
        </w:trPr>
        <w:tc>
          <w:tcPr>
            <w:tcW w:w="0" w:type="auto"/>
            <w:vAlign w:val="center"/>
            <w:hideMark/>
          </w:tcPr>
          <w:p w:rsidR="00A77B55" w:rsidRPr="00A77B55" w:rsidRDefault="00A77B55" w:rsidP="00A77B55">
            <w:pPr>
              <w:spacing w:after="0" w:line="240" w:lineRule="auto"/>
              <w:rPr>
                <w:rFonts w:ascii="Arial" w:eastAsia="Times New Roman" w:hAnsi="Arial" w:cs="Arial"/>
                <w:color w:val="999999"/>
                <w:sz w:val="17"/>
                <w:szCs w:val="17"/>
              </w:rPr>
            </w:pPr>
            <w:proofErr w:type="spellStart"/>
            <w:r w:rsidRPr="00A77B55">
              <w:rPr>
                <w:rFonts w:ascii="Arial" w:eastAsia="Times New Roman" w:hAnsi="Arial" w:cs="Arial"/>
                <w:color w:val="999999"/>
                <w:sz w:val="17"/>
                <w:szCs w:val="17"/>
              </w:rPr>
              <w:t>Publié</w:t>
            </w:r>
            <w:proofErr w:type="spellEnd"/>
            <w:r w:rsidRPr="00A77B55">
              <w:rPr>
                <w:rFonts w:ascii="Arial" w:eastAsia="Times New Roman" w:hAnsi="Arial" w:cs="Arial"/>
                <w:color w:val="999999"/>
                <w:sz w:val="17"/>
                <w:szCs w:val="17"/>
              </w:rPr>
              <w:t xml:space="preserve"> le 26/02/2013   | </w:t>
            </w:r>
            <w:hyperlink r:id="rId6" w:anchor="reactions" w:history="1">
              <w:r w:rsidRPr="00A77B55">
                <w:rPr>
                  <w:rFonts w:ascii="Arial" w:eastAsia="Times New Roman" w:hAnsi="Arial" w:cs="Arial"/>
                  <w:color w:val="627FA6"/>
                  <w:sz w:val="17"/>
                  <w:szCs w:val="17"/>
                  <w:u w:val="single"/>
                </w:rPr>
                <w:t xml:space="preserve"> 1 </w:t>
              </w:r>
              <w:proofErr w:type="spellStart"/>
              <w:r w:rsidRPr="00A77B55">
                <w:rPr>
                  <w:rFonts w:ascii="Arial" w:eastAsia="Times New Roman" w:hAnsi="Arial" w:cs="Arial"/>
                  <w:color w:val="627FA6"/>
                  <w:sz w:val="17"/>
                  <w:szCs w:val="17"/>
                  <w:u w:val="single"/>
                </w:rPr>
                <w:t>réaction</w:t>
              </w:r>
              <w:proofErr w:type="spellEnd"/>
              <w:r w:rsidRPr="00A77B55">
                <w:rPr>
                  <w:rFonts w:ascii="Arial" w:eastAsia="Times New Roman" w:hAnsi="Arial" w:cs="Arial"/>
                  <w:color w:val="627FA6"/>
                  <w:sz w:val="17"/>
                  <w:szCs w:val="17"/>
                  <w:u w:val="single"/>
                </w:rPr>
                <w:t> </w:t>
              </w:r>
              <w:r w:rsidRPr="00A77B55">
                <w:rPr>
                  <w:rFonts w:ascii="Arial" w:eastAsia="Times New Roman" w:hAnsi="Arial" w:cs="Arial"/>
                  <w:noProof/>
                  <w:color w:val="627FA6"/>
                  <w:sz w:val="17"/>
                  <w:szCs w:val="17"/>
                </w:rPr>
                <w:drawing>
                  <wp:inline distT="0" distB="0" distL="0" distR="0" wp14:anchorId="61B85EFC" wp14:editId="7920C854">
                    <wp:extent cx="124460" cy="87630"/>
                    <wp:effectExtent l="0" t="0" r="8890" b="7620"/>
                    <wp:docPr id="1" name="Image 1" descr="http://www.jim.fr/images/puce_reac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m.fr/images/puce_reacti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87630"/>
                            </a:xfrm>
                            <a:prstGeom prst="rect">
                              <a:avLst/>
                            </a:prstGeom>
                            <a:noFill/>
                            <a:ln>
                              <a:noFill/>
                            </a:ln>
                          </pic:spPr>
                        </pic:pic>
                      </a:graphicData>
                    </a:graphic>
                  </wp:inline>
                </w:drawing>
              </w:r>
            </w:hyperlink>
          </w:p>
        </w:tc>
        <w:tc>
          <w:tcPr>
            <w:tcW w:w="0" w:type="auto"/>
            <w:vAlign w:val="center"/>
            <w:hideMark/>
          </w:tcPr>
          <w:p w:rsidR="00A77B55" w:rsidRPr="00A77B55" w:rsidRDefault="00A77B55" w:rsidP="00A77B55">
            <w:pPr>
              <w:spacing w:after="0" w:line="240" w:lineRule="auto"/>
              <w:jc w:val="right"/>
              <w:rPr>
                <w:rFonts w:ascii="Arial" w:eastAsia="Times New Roman" w:hAnsi="Arial" w:cs="Arial"/>
                <w:sz w:val="24"/>
                <w:szCs w:val="24"/>
              </w:rPr>
            </w:pPr>
            <w:r w:rsidRPr="00A77B55">
              <w:rPr>
                <w:rFonts w:ascii="Arial" w:eastAsia="Times New Roman" w:hAnsi="Arial" w:cs="Arial"/>
                <w:noProof/>
                <w:color w:val="1E1E96"/>
                <w:sz w:val="24"/>
                <w:szCs w:val="24"/>
              </w:rPr>
              <w:drawing>
                <wp:inline distT="0" distB="0" distL="0" distR="0" wp14:anchorId="44D25963" wp14:editId="54BC11FE">
                  <wp:extent cx="182880" cy="182880"/>
                  <wp:effectExtent l="0" t="0" r="7620" b="7620"/>
                  <wp:docPr id="2" name="Image 2" descr="Partager sur 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r sur 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4E0B0DBF" wp14:editId="191B3560">
                  <wp:extent cx="182880" cy="182880"/>
                  <wp:effectExtent l="0" t="0" r="7620" b="7620"/>
                  <wp:docPr id="3" name="Image 3" descr="Partager sur Faceboo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ager sur Faceboo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43DB6750" wp14:editId="53172DD2">
                  <wp:extent cx="205105" cy="205105"/>
                  <wp:effectExtent l="0" t="0" r="4445" b="4445"/>
                  <wp:docPr id="4" name="Image 4" descr="Imprimer l'articl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imer l'articl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3B45AF40" wp14:editId="7B60FB8B">
                  <wp:extent cx="292735" cy="205105"/>
                  <wp:effectExtent l="0" t="0" r="0" b="4445"/>
                  <wp:docPr id="5" name="Image 5" descr="Envoyer à un confrè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voyer à un confrèr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05105"/>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529F06C5" wp14:editId="39D39666">
                  <wp:extent cx="263525" cy="205105"/>
                  <wp:effectExtent l="0" t="0" r="3175" b="4445"/>
                  <wp:docPr id="6" name="Image 6" descr="Réagir à l'artic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agir à l'artic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05105"/>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053D90F0" wp14:editId="25EDFE69">
                  <wp:extent cx="175260" cy="205105"/>
                  <wp:effectExtent l="0" t="0" r="0" b="4445"/>
                  <wp:docPr id="7" name="Image 7" descr="Enregistrer dans ma bibliothèqu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registrer dans ma bibliothèqu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 cy="205105"/>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3645D6F7" wp14:editId="30548CE3">
                  <wp:extent cx="205105" cy="205105"/>
                  <wp:effectExtent l="0" t="0" r="4445" b="4445"/>
                  <wp:docPr id="8" name="Image 8" descr="Redui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uir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A77B55">
              <w:rPr>
                <w:rFonts w:ascii="Arial" w:eastAsia="Times New Roman" w:hAnsi="Arial" w:cs="Arial"/>
                <w:sz w:val="24"/>
                <w:szCs w:val="24"/>
              </w:rPr>
              <w:t> </w:t>
            </w:r>
            <w:r w:rsidRPr="00A77B55">
              <w:rPr>
                <w:rFonts w:ascii="Arial" w:eastAsia="Times New Roman" w:hAnsi="Arial" w:cs="Arial"/>
                <w:noProof/>
                <w:color w:val="1E1E96"/>
                <w:sz w:val="24"/>
                <w:szCs w:val="24"/>
              </w:rPr>
              <w:drawing>
                <wp:inline distT="0" distB="0" distL="0" distR="0" wp14:anchorId="36AD9B0F" wp14:editId="3D2269F0">
                  <wp:extent cx="205105" cy="205105"/>
                  <wp:effectExtent l="0" t="0" r="4445" b="4445"/>
                  <wp:docPr id="9" name="Image 9" descr="Agrandi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andi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bl>
    <w:p w:rsidR="00A77B55" w:rsidRPr="00A77B55" w:rsidRDefault="00A77B55" w:rsidP="00A77B55">
      <w:pPr>
        <w:spacing w:after="0" w:line="240" w:lineRule="auto"/>
        <w:rPr>
          <w:rFonts w:ascii="Times New Roman" w:eastAsia="Times New Roman" w:hAnsi="Times New Roman" w:cs="Times New Roman"/>
          <w:sz w:val="24"/>
          <w:szCs w:val="24"/>
        </w:rPr>
      </w:pPr>
    </w:p>
    <w:p w:rsidR="00A77B55" w:rsidRPr="00A77B55" w:rsidRDefault="00A77B55" w:rsidP="00A77B55">
      <w:pPr>
        <w:shd w:val="clear" w:color="auto" w:fill="FFFFFF"/>
        <w:spacing w:after="0" w:line="240" w:lineRule="auto"/>
        <w:rPr>
          <w:rFonts w:ascii="Arial" w:eastAsia="Times New Roman" w:hAnsi="Arial" w:cs="Arial"/>
          <w:color w:val="333333"/>
          <w:sz w:val="18"/>
          <w:szCs w:val="18"/>
        </w:rPr>
      </w:pPr>
      <w:r w:rsidRPr="00A77B5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1769B2E" wp14:editId="0E2BE338">
            <wp:simplePos x="0" y="0"/>
            <wp:positionH relativeFrom="column">
              <wp:align>right</wp:align>
            </wp:positionH>
            <wp:positionV relativeFrom="line">
              <wp:posOffset>0</wp:posOffset>
            </wp:positionV>
            <wp:extent cx="304800" cy="304800"/>
            <wp:effectExtent l="0" t="0" r="0" b="0"/>
            <wp:wrapSquare wrapText="bothSides"/>
            <wp:docPr id="10" name="Image 2" descr="http://www.jim.fr/e-docs/00/02/19/12/carac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m.fr/e-docs/00/02/19/12/carac_photo_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B55">
        <w:rPr>
          <w:rFonts w:ascii="Arial" w:eastAsia="Times New Roman" w:hAnsi="Arial" w:cs="Arial"/>
          <w:color w:val="333333"/>
          <w:sz w:val="18"/>
          <w:szCs w:val="1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2pt;height:187.8pt" o:ole="">
            <v:imagedata r:id="rId26" o:title=""/>
          </v:shape>
          <w:control r:id="rId27" w:name="AdsFB8118549" w:shapeid="_x0000_i1029"/>
        </w:object>
      </w:r>
    </w:p>
    <w:p w:rsidR="00A77B55" w:rsidRPr="00A77B55" w:rsidRDefault="00A77B55" w:rsidP="00A77B55">
      <w:pPr>
        <w:shd w:val="clear" w:color="auto" w:fill="FFFFFF"/>
        <w:spacing w:after="0" w:line="240" w:lineRule="auto"/>
        <w:rPr>
          <w:rFonts w:ascii="Arial" w:eastAsia="Times New Roman" w:hAnsi="Arial" w:cs="Arial"/>
          <w:color w:val="333333"/>
          <w:sz w:val="18"/>
          <w:szCs w:val="18"/>
        </w:rPr>
      </w:pPr>
      <w:r w:rsidRPr="00A77B55">
        <w:rPr>
          <w:rFonts w:ascii="Arial" w:eastAsia="Times New Roman" w:hAnsi="Arial" w:cs="Arial"/>
          <w:color w:val="333333"/>
          <w:sz w:val="18"/>
          <w:szCs w:val="18"/>
        </w:rPr>
        <w:lastRenderedPageBreak/>
        <w:object w:dxaOrig="0" w:dyaOrig="0">
          <v:shape id="_x0000_i1031" type="#_x0000_t75" style="width:375pt;height:375pt" o:ole="">
            <v:imagedata r:id="rId28" o:title=""/>
          </v:shape>
          <w:control r:id="rId29" w:name="AdsFO8118549" w:shapeid="_x0000_i1031"/>
        </w:objec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A l’heure où les nouveaux anticoagulants oraux (NACO) font l’objet d’un plan de gestion des risques européen, renforcé à l’échelon national  par le suivi mis en place par l’Agence Nationale de la Sécurité du Médicament, le </w:t>
      </w:r>
      <w:r w:rsidRPr="00A77B55">
        <w:rPr>
          <w:rFonts w:ascii="Arial" w:eastAsia="Times New Roman" w:hAnsi="Arial" w:cs="Arial"/>
          <w:i/>
          <w:iCs/>
          <w:color w:val="333333"/>
          <w:sz w:val="18"/>
          <w:szCs w:val="18"/>
          <w:lang w:val="fr-FR"/>
        </w:rPr>
        <w:t>New England Journal of Medicine</w:t>
      </w:r>
      <w:r w:rsidRPr="00A77B55">
        <w:rPr>
          <w:rFonts w:ascii="Arial" w:eastAsia="Times New Roman" w:hAnsi="Arial" w:cs="Arial"/>
          <w:color w:val="333333"/>
          <w:sz w:val="18"/>
          <w:szCs w:val="18"/>
          <w:lang w:val="fr-FR"/>
        </w:rPr>
        <w:t>leur consacre 2 articles de sa dernière édition. Trois études réalisées dans le cadre de l’évaluation de leur rapport bénéfices-risques dans le traitement des évènements thromboemboliques veineux (ETEV) idiopathiques sont présentées et comparées (voir tableau) avec une quatrième étude consacrée au traitement de la thrombose veineuse profonde (TVP) par rivaroxaban. Les ETEV idiopathiques sont à haut risque de récidive (40 % dans les 5 ans), et justifient donc un traitement au long cours, pour lequel les NACO présentent l’intérêt d’une administration orale et de l’absence de nécessité de surveillance spécifique.</w:t>
      </w:r>
    </w:p>
    <w:p w:rsidR="00A77B55" w:rsidRPr="00A77B55" w:rsidRDefault="00A77B55" w:rsidP="00A77B55">
      <w:pPr>
        <w:shd w:val="clear" w:color="auto" w:fill="FFFFFF"/>
        <w:spacing w:before="225" w:after="225" w:line="240" w:lineRule="auto"/>
        <w:outlineLvl w:val="2"/>
        <w:rPr>
          <w:rFonts w:ascii="Arial" w:eastAsia="Times New Roman" w:hAnsi="Arial" w:cs="Arial"/>
          <w:b/>
          <w:bCs/>
          <w:color w:val="1E1E96"/>
          <w:sz w:val="21"/>
          <w:szCs w:val="21"/>
          <w:lang w:val="fr-FR"/>
        </w:rPr>
      </w:pPr>
      <w:r w:rsidRPr="00A77B55">
        <w:rPr>
          <w:rFonts w:ascii="Arial" w:eastAsia="Times New Roman" w:hAnsi="Arial" w:cs="Arial"/>
          <w:b/>
          <w:bCs/>
          <w:color w:val="1E1E96"/>
          <w:sz w:val="21"/>
          <w:szCs w:val="21"/>
          <w:lang w:val="fr-FR"/>
        </w:rPr>
        <w:t>Trois études</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Elles comparent un des NACO soit à la warfarine, malheureusement très peu utilisée en France, soit à un placebo</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 </w:t>
      </w:r>
      <w:r w:rsidRPr="00A77B55">
        <w:rPr>
          <w:rFonts w:ascii="Arial" w:eastAsia="Times New Roman" w:hAnsi="Arial" w:cs="Arial"/>
          <w:b/>
          <w:bCs/>
          <w:color w:val="333333"/>
          <w:sz w:val="18"/>
          <w:szCs w:val="18"/>
          <w:lang w:val="fr-FR"/>
        </w:rPr>
        <w:t>RE-MEDY</w:t>
      </w:r>
      <w:r w:rsidRPr="00A77B55">
        <w:rPr>
          <w:rFonts w:ascii="Arial" w:eastAsia="Times New Roman" w:hAnsi="Arial" w:cs="Arial"/>
          <w:color w:val="333333"/>
          <w:sz w:val="18"/>
          <w:szCs w:val="18"/>
          <w:lang w:val="fr-FR"/>
        </w:rPr>
        <w:t> : seule étude comparant un NACO à l’anticoagulant de référence, la warfarine. Réalisée en double aveugle par 265 établissements de 33 pays, elle inclut 2 866 patients de plus de 18 ans, ayant présenté un ETEV documenté, considérés à risque élevé de récidive thrombo-embolique et randomisés en 2 groupes traités pendant 6 mois, après une première ligne thérapeutique de 3 mois :</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o un groupe traité par un anti-thrombine, le dabigatran administré en 2 prises journalières de 150 mg ;</w:t>
      </w:r>
      <w:r w:rsidRPr="00A77B55">
        <w:rPr>
          <w:rFonts w:ascii="Arial" w:eastAsia="Times New Roman" w:hAnsi="Arial" w:cs="Arial"/>
          <w:color w:val="333333"/>
          <w:sz w:val="18"/>
          <w:szCs w:val="18"/>
          <w:lang w:val="fr-FR"/>
        </w:rPr>
        <w:br/>
        <w:t>o un groupe warfarine avec un objectif d’International Normalized Ratio (INR) entre 2 et 3.</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 </w:t>
      </w:r>
      <w:r w:rsidRPr="00A77B55">
        <w:rPr>
          <w:rFonts w:ascii="Arial" w:eastAsia="Times New Roman" w:hAnsi="Arial" w:cs="Arial"/>
          <w:b/>
          <w:bCs/>
          <w:color w:val="333333"/>
          <w:sz w:val="18"/>
          <w:szCs w:val="18"/>
          <w:lang w:val="fr-FR"/>
        </w:rPr>
        <w:t>RE-SONATE</w:t>
      </w:r>
      <w:r w:rsidRPr="00A77B55">
        <w:rPr>
          <w:rFonts w:ascii="Arial" w:eastAsia="Times New Roman" w:hAnsi="Arial" w:cs="Arial"/>
          <w:color w:val="333333"/>
          <w:sz w:val="18"/>
          <w:szCs w:val="18"/>
          <w:lang w:val="fr-FR"/>
        </w:rPr>
        <w:t> : 1 353 patients de plus de 18 ans, issus de 147 établissements de 21 pays, ayant présenté un ETEV documenté, mais pour lesquels l’indication d’un traitement au long cours n’était pas impérative, ont été randomisés en 2 groupes et traités pendant 6 mois, après une première ligne thérapeutique de 3 mois :</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 xml:space="preserve">o  un groupe traité par dabigatran administré en 2 prises journalières de 150 mg </w:t>
      </w:r>
      <w:proofErr w:type="gramStart"/>
      <w:r w:rsidRPr="00A77B55">
        <w:rPr>
          <w:rFonts w:ascii="Arial" w:eastAsia="Times New Roman" w:hAnsi="Arial" w:cs="Arial"/>
          <w:color w:val="333333"/>
          <w:sz w:val="18"/>
          <w:szCs w:val="18"/>
          <w:lang w:val="fr-FR"/>
        </w:rPr>
        <w:t>;</w:t>
      </w:r>
      <w:proofErr w:type="gramEnd"/>
      <w:r w:rsidRPr="00A77B55">
        <w:rPr>
          <w:rFonts w:ascii="Arial" w:eastAsia="Times New Roman" w:hAnsi="Arial" w:cs="Arial"/>
          <w:color w:val="333333"/>
          <w:sz w:val="18"/>
          <w:szCs w:val="18"/>
          <w:lang w:val="fr-FR"/>
        </w:rPr>
        <w:br/>
        <w:t>o un groupe traité par placebo.</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lastRenderedPageBreak/>
        <w:t>• </w:t>
      </w:r>
      <w:r w:rsidRPr="00A77B55">
        <w:rPr>
          <w:rFonts w:ascii="Arial" w:eastAsia="Times New Roman" w:hAnsi="Arial" w:cs="Arial"/>
          <w:b/>
          <w:bCs/>
          <w:color w:val="333333"/>
          <w:sz w:val="18"/>
          <w:szCs w:val="18"/>
          <w:lang w:val="fr-FR"/>
        </w:rPr>
        <w:t>AMPLIFY-EXT</w:t>
      </w:r>
      <w:r w:rsidRPr="00A77B55">
        <w:rPr>
          <w:rFonts w:ascii="Arial" w:eastAsia="Times New Roman" w:hAnsi="Arial" w:cs="Arial"/>
          <w:color w:val="333333"/>
          <w:sz w:val="18"/>
          <w:szCs w:val="18"/>
          <w:lang w:val="fr-FR"/>
        </w:rPr>
        <w:t> : après une première ligne de traitement anticoagulant standard de 6 à 12 mois pour embolie pulmonaire ou thrombose veineuse profonde, 2 486 patients de plus de 18 ans, ayant présenté un ETEV documenté et n’ayant pas récidivé en première phase de traitement, ont été randomisés en 3 groupes, prenant chacun pendant 6 mois :</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o Soit 2 prises journalières d’apixaban 2,5mg (anti Xa, posologie prophylactique</w:t>
      </w:r>
      <w:proofErr w:type="gramStart"/>
      <w:r w:rsidRPr="00A77B55">
        <w:rPr>
          <w:rFonts w:ascii="Arial" w:eastAsia="Times New Roman" w:hAnsi="Arial" w:cs="Arial"/>
          <w:color w:val="333333"/>
          <w:sz w:val="18"/>
          <w:szCs w:val="18"/>
          <w:lang w:val="fr-FR"/>
        </w:rPr>
        <w:t>)</w:t>
      </w:r>
      <w:proofErr w:type="gramEnd"/>
      <w:r w:rsidRPr="00A77B55">
        <w:rPr>
          <w:rFonts w:ascii="Arial" w:eastAsia="Times New Roman" w:hAnsi="Arial" w:cs="Arial"/>
          <w:color w:val="333333"/>
          <w:sz w:val="18"/>
          <w:szCs w:val="18"/>
          <w:lang w:val="fr-FR"/>
        </w:rPr>
        <w:br/>
        <w:t>o soit 2 prises journalières d’apixaban 5 mg (posologie curative)</w:t>
      </w:r>
      <w:r w:rsidRPr="00A77B55">
        <w:rPr>
          <w:rFonts w:ascii="Arial" w:eastAsia="Times New Roman" w:hAnsi="Arial" w:cs="Arial"/>
          <w:color w:val="333333"/>
          <w:sz w:val="18"/>
          <w:szCs w:val="18"/>
          <w:lang w:val="fr-FR"/>
        </w:rPr>
        <w:br/>
        <w:t>o soit un  placebo.</w:t>
      </w:r>
      <w:r w:rsidRPr="00A77B55">
        <w:rPr>
          <w:rFonts w:ascii="Arial" w:eastAsia="Times New Roman" w:hAnsi="Arial" w:cs="Arial"/>
          <w:color w:val="333333"/>
          <w:sz w:val="18"/>
          <w:szCs w:val="18"/>
          <w:lang w:val="fr-FR"/>
        </w:rPr>
        <w:br/>
        <w:t>2482 patients ont été inclus dans l’analyse en intention de traiter. Ont été exclus en particulier les patients présentant une indication formelle d’anticoagulation (fibrillation atriale, syndrome des anti-phospholipides), une insuffisance hépatique ou rénale, une anémie (hémoglobine ≤ 9g/dl), une thrombopénie (plaquettes ≤ 100 giga/L).</w:t>
      </w:r>
    </w:p>
    <w:p w:rsidR="00A77B55" w:rsidRPr="006D094B" w:rsidRDefault="00A77B55" w:rsidP="00A77B55">
      <w:pPr>
        <w:shd w:val="clear" w:color="auto" w:fill="FFFFFF"/>
        <w:spacing w:before="225" w:after="225" w:line="240" w:lineRule="auto"/>
        <w:outlineLvl w:val="2"/>
        <w:rPr>
          <w:rFonts w:ascii="Arial" w:eastAsia="Times New Roman" w:hAnsi="Arial" w:cs="Arial"/>
          <w:b/>
          <w:bCs/>
          <w:color w:val="1E1E96"/>
          <w:sz w:val="21"/>
          <w:szCs w:val="21"/>
          <w:lang w:val="fr-FR"/>
        </w:rPr>
      </w:pPr>
      <w:r w:rsidRPr="006D094B">
        <w:rPr>
          <w:rFonts w:ascii="Arial" w:eastAsia="Times New Roman" w:hAnsi="Arial" w:cs="Arial"/>
          <w:b/>
          <w:bCs/>
          <w:color w:val="1E1E96"/>
          <w:sz w:val="21"/>
          <w:szCs w:val="21"/>
          <w:lang w:val="fr-FR"/>
        </w:rPr>
        <w:t>Les résultats</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 xml:space="preserve">• Le </w:t>
      </w:r>
      <w:proofErr w:type="spellStart"/>
      <w:r w:rsidRPr="00A77B55">
        <w:rPr>
          <w:rFonts w:ascii="Arial" w:eastAsia="Times New Roman" w:hAnsi="Arial" w:cs="Arial"/>
          <w:color w:val="333333"/>
          <w:sz w:val="18"/>
          <w:szCs w:val="18"/>
          <w:lang w:val="fr-FR"/>
        </w:rPr>
        <w:t>dabigatran</w:t>
      </w:r>
      <w:proofErr w:type="spellEnd"/>
      <w:r w:rsidRPr="00A77B55">
        <w:rPr>
          <w:rFonts w:ascii="Arial" w:eastAsia="Times New Roman" w:hAnsi="Arial" w:cs="Arial"/>
          <w:color w:val="333333"/>
          <w:sz w:val="18"/>
          <w:szCs w:val="18"/>
          <w:lang w:val="fr-FR"/>
        </w:rPr>
        <w:t xml:space="preserve"> remplit les critères de non infériorité d’efficacité comparé à la warfarine, et cela avec globalement moins d’effets secondaires de type hémorragique (néanmoins, risque majoré en particulier de saignements mineurs), mais avec une marge très faible. Dabigatran et warfarine sont plus efficaces que le placebo dans la prévention de la récidive des ETEV. Le dabigatran provoque plus d’effets secondaires hémorragiques que le placebo.</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 Concernant l’apixaban, il est surprenant de constater que le taux de récidive des ETEV est le même, que la dose journalière administrée soit de 5 ou 10 mg. L’apixaban présente le même taux d’effets secondaires hémorragiques que le placebo.</w:t>
      </w:r>
    </w:p>
    <w:tbl>
      <w:tblPr>
        <w:tblpPr w:leftFromText="45" w:rightFromText="45" w:vertAnchor="text"/>
        <w:tblW w:w="50" w:type="pct"/>
        <w:tblCellSpacing w:w="0" w:type="dxa"/>
        <w:tblCellMar>
          <w:top w:w="15" w:type="dxa"/>
          <w:left w:w="15" w:type="dxa"/>
          <w:bottom w:w="15" w:type="dxa"/>
          <w:right w:w="15" w:type="dxa"/>
        </w:tblCellMar>
        <w:tblLook w:val="04A0" w:firstRow="1" w:lastRow="0" w:firstColumn="1" w:lastColumn="0" w:noHBand="0" w:noVBand="1"/>
      </w:tblPr>
      <w:tblGrid>
        <w:gridCol w:w="3330"/>
      </w:tblGrid>
      <w:tr w:rsidR="00A77B55" w:rsidRPr="00A77B55" w:rsidTr="00A77B55">
        <w:trPr>
          <w:tblCellSpacing w:w="0" w:type="dxa"/>
        </w:trPr>
        <w:tc>
          <w:tcPr>
            <w:tcW w:w="0" w:type="auto"/>
            <w:tcBorders>
              <w:bottom w:val="nil"/>
              <w:right w:val="nil"/>
            </w:tcBorders>
            <w:tcMar>
              <w:top w:w="75" w:type="dxa"/>
              <w:left w:w="165" w:type="dxa"/>
              <w:bottom w:w="75" w:type="dxa"/>
              <w:right w:w="165" w:type="dxa"/>
            </w:tcMar>
            <w:hideMark/>
          </w:tcPr>
          <w:p w:rsidR="00A77B55" w:rsidRPr="00A77B55" w:rsidRDefault="00A77B55" w:rsidP="00A77B55">
            <w:pPr>
              <w:spacing w:after="0" w:line="240" w:lineRule="auto"/>
              <w:rPr>
                <w:rFonts w:ascii="Arial" w:eastAsia="Times New Roman" w:hAnsi="Arial" w:cs="Arial"/>
                <w:sz w:val="24"/>
                <w:szCs w:val="24"/>
              </w:rPr>
            </w:pPr>
            <w:r w:rsidRPr="00A77B55">
              <w:rPr>
                <w:rFonts w:ascii="Arial" w:eastAsia="Times New Roman" w:hAnsi="Arial" w:cs="Arial"/>
                <w:b/>
                <w:bCs/>
                <w:sz w:val="24"/>
                <w:szCs w:val="24"/>
                <w:lang w:val="fr-FR"/>
              </w:rPr>
              <w:t xml:space="preserve">Principaux résultats des 4 études comparant les traitements au long cours des ETEV. </w:t>
            </w:r>
            <w:r w:rsidRPr="00A77B55">
              <w:rPr>
                <w:rFonts w:ascii="Arial" w:eastAsia="Times New Roman" w:hAnsi="Arial" w:cs="Arial"/>
                <w:b/>
                <w:bCs/>
                <w:sz w:val="24"/>
                <w:szCs w:val="24"/>
              </w:rPr>
              <w:t xml:space="preserve">Pour </w:t>
            </w:r>
            <w:proofErr w:type="spellStart"/>
            <w:r w:rsidRPr="00A77B55">
              <w:rPr>
                <w:rFonts w:ascii="Arial" w:eastAsia="Times New Roman" w:hAnsi="Arial" w:cs="Arial"/>
                <w:b/>
                <w:bCs/>
                <w:sz w:val="24"/>
                <w:szCs w:val="24"/>
              </w:rPr>
              <w:t>agrandir</w:t>
            </w:r>
            <w:proofErr w:type="spellEnd"/>
            <w:r w:rsidRPr="00A77B55">
              <w:rPr>
                <w:rFonts w:ascii="Arial" w:eastAsia="Times New Roman" w:hAnsi="Arial" w:cs="Arial"/>
                <w:b/>
                <w:bCs/>
                <w:sz w:val="24"/>
                <w:szCs w:val="24"/>
              </w:rPr>
              <w:t xml:space="preserve"> </w:t>
            </w:r>
            <w:proofErr w:type="spellStart"/>
            <w:r w:rsidRPr="00A77B55">
              <w:rPr>
                <w:rFonts w:ascii="Arial" w:eastAsia="Times New Roman" w:hAnsi="Arial" w:cs="Arial"/>
                <w:b/>
                <w:bCs/>
                <w:sz w:val="24"/>
                <w:szCs w:val="24"/>
              </w:rPr>
              <w:t>cliquez</w:t>
            </w:r>
            <w:proofErr w:type="spellEnd"/>
            <w:r w:rsidRPr="00A77B55">
              <w:rPr>
                <w:rFonts w:ascii="Arial" w:eastAsia="Times New Roman" w:hAnsi="Arial" w:cs="Arial"/>
                <w:b/>
                <w:bCs/>
                <w:sz w:val="24"/>
                <w:szCs w:val="24"/>
              </w:rPr>
              <w:t xml:space="preserve"> </w:t>
            </w:r>
            <w:proofErr w:type="spellStart"/>
            <w:r w:rsidRPr="00A77B55">
              <w:rPr>
                <w:rFonts w:ascii="Arial" w:eastAsia="Times New Roman" w:hAnsi="Arial" w:cs="Arial"/>
                <w:b/>
                <w:bCs/>
                <w:sz w:val="24"/>
                <w:szCs w:val="24"/>
              </w:rPr>
              <w:t>sur</w:t>
            </w:r>
            <w:proofErr w:type="spellEnd"/>
            <w:r w:rsidRPr="00A77B55">
              <w:rPr>
                <w:rFonts w:ascii="Arial" w:eastAsia="Times New Roman" w:hAnsi="Arial" w:cs="Arial"/>
                <w:b/>
                <w:bCs/>
                <w:sz w:val="24"/>
                <w:szCs w:val="24"/>
              </w:rPr>
              <w:t xml:space="preserve"> le tableau </w:t>
            </w:r>
            <w:proofErr w:type="spellStart"/>
            <w:r w:rsidRPr="00A77B55">
              <w:rPr>
                <w:rFonts w:ascii="Arial" w:eastAsia="Times New Roman" w:hAnsi="Arial" w:cs="Arial"/>
                <w:b/>
                <w:bCs/>
                <w:sz w:val="24"/>
                <w:szCs w:val="24"/>
              </w:rPr>
              <w:t>ou</w:t>
            </w:r>
            <w:proofErr w:type="spellEnd"/>
            <w:r w:rsidRPr="00A77B55">
              <w:rPr>
                <w:rFonts w:ascii="Arial" w:eastAsia="Times New Roman" w:hAnsi="Arial" w:cs="Arial"/>
                <w:sz w:val="24"/>
                <w:szCs w:val="24"/>
              </w:rPr>
              <w:t> </w:t>
            </w:r>
            <w:proofErr w:type="spellStart"/>
            <w:r w:rsidRPr="00A77B55">
              <w:rPr>
                <w:rFonts w:ascii="Arial" w:eastAsia="Times New Roman" w:hAnsi="Arial" w:cs="Arial"/>
                <w:sz w:val="24"/>
                <w:szCs w:val="24"/>
              </w:rPr>
              <w:fldChar w:fldCharType="begin"/>
            </w:r>
            <w:r w:rsidRPr="00A77B55">
              <w:rPr>
                <w:rFonts w:ascii="Arial" w:eastAsia="Times New Roman" w:hAnsi="Arial" w:cs="Arial"/>
                <w:sz w:val="24"/>
                <w:szCs w:val="24"/>
              </w:rPr>
              <w:instrText xml:space="preserve"> HYPERLINK "http://www.jim.fr/e-docs/00/02/19/13/media_tableaugrand.jpg" \t "_blank" </w:instrText>
            </w:r>
            <w:r w:rsidRPr="00A77B55">
              <w:rPr>
                <w:rFonts w:ascii="Arial" w:eastAsia="Times New Roman" w:hAnsi="Arial" w:cs="Arial"/>
                <w:sz w:val="24"/>
                <w:szCs w:val="24"/>
              </w:rPr>
              <w:fldChar w:fldCharType="separate"/>
            </w:r>
            <w:r w:rsidRPr="00A77B55">
              <w:rPr>
                <w:rFonts w:ascii="Arial" w:eastAsia="Times New Roman" w:hAnsi="Arial" w:cs="Arial"/>
                <w:b/>
                <w:bCs/>
                <w:color w:val="1E1E96"/>
                <w:sz w:val="24"/>
                <w:szCs w:val="24"/>
                <w:u w:val="single"/>
              </w:rPr>
              <w:t>ici</w:t>
            </w:r>
            <w:proofErr w:type="spellEnd"/>
            <w:r w:rsidRPr="00A77B55">
              <w:rPr>
                <w:rFonts w:ascii="Arial" w:eastAsia="Times New Roman" w:hAnsi="Arial" w:cs="Arial"/>
                <w:sz w:val="24"/>
                <w:szCs w:val="24"/>
              </w:rPr>
              <w:fldChar w:fldCharType="end"/>
            </w:r>
            <w:r w:rsidRPr="00A77B55">
              <w:rPr>
                <w:rFonts w:ascii="Arial" w:eastAsia="Times New Roman" w:hAnsi="Arial" w:cs="Arial"/>
                <w:sz w:val="24"/>
                <w:szCs w:val="24"/>
              </w:rPr>
              <w:t> </w:t>
            </w:r>
          </w:p>
        </w:tc>
      </w:tr>
      <w:tr w:rsidR="00A77B55" w:rsidRPr="00A77B55" w:rsidTr="00A77B55">
        <w:trPr>
          <w:tblCellSpacing w:w="0" w:type="dxa"/>
        </w:trPr>
        <w:tc>
          <w:tcPr>
            <w:tcW w:w="0" w:type="auto"/>
            <w:tcBorders>
              <w:bottom w:val="nil"/>
              <w:right w:val="nil"/>
            </w:tcBorders>
            <w:tcMar>
              <w:top w:w="75" w:type="dxa"/>
              <w:left w:w="165" w:type="dxa"/>
              <w:bottom w:w="75" w:type="dxa"/>
              <w:right w:w="165" w:type="dxa"/>
            </w:tcMar>
            <w:hideMark/>
          </w:tcPr>
          <w:p w:rsidR="00A77B55" w:rsidRPr="00A77B55" w:rsidRDefault="00A77B55" w:rsidP="00A77B55">
            <w:pPr>
              <w:spacing w:after="0" w:line="240" w:lineRule="auto"/>
              <w:rPr>
                <w:rFonts w:ascii="Arial" w:eastAsia="Times New Roman" w:hAnsi="Arial" w:cs="Arial"/>
                <w:sz w:val="24"/>
                <w:szCs w:val="24"/>
              </w:rPr>
            </w:pPr>
            <w:r w:rsidRPr="00A77B55">
              <w:rPr>
                <w:rFonts w:ascii="Arial" w:eastAsia="Times New Roman" w:hAnsi="Arial" w:cs="Arial"/>
                <w:noProof/>
                <w:color w:val="1E1E96"/>
                <w:sz w:val="24"/>
                <w:szCs w:val="24"/>
              </w:rPr>
              <w:drawing>
                <wp:inline distT="0" distB="0" distL="0" distR="0" wp14:anchorId="3008AD1B" wp14:editId="57E5A193">
                  <wp:extent cx="1901825" cy="1075055"/>
                  <wp:effectExtent l="0" t="0" r="3175" b="0"/>
                  <wp:docPr id="11" name="Image 11" descr="http://www.jim.fr/e-docs/00/02/19/12/media_tableaupeti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im.fr/e-docs/00/02/19/12/media_tableaupetit.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1825" cy="1075055"/>
                          </a:xfrm>
                          <a:prstGeom prst="rect">
                            <a:avLst/>
                          </a:prstGeom>
                          <a:noFill/>
                          <a:ln>
                            <a:noFill/>
                          </a:ln>
                        </pic:spPr>
                      </pic:pic>
                    </a:graphicData>
                  </a:graphic>
                </wp:inline>
              </w:drawing>
            </w:r>
          </w:p>
        </w:tc>
      </w:tr>
    </w:tbl>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Dabigatran et apixaban sont mis en balance dans le tableau ci-contre avec le rivaroxaban (étude Einstein extension),  actuellement le seul des NACO à disposer de l’AMM dans le traitement à court et long terme des ETEV,  aux USA et en Europe. Le rivaroxaban est en effet plus efficace que le placebo dans le traitement au long cours des ETEV (diminution de 82 % du risque relatif de survenue d’un ETEV), nonobstant une augmentation du risque hémorragique.</w:t>
      </w:r>
    </w:p>
    <w:p w:rsidR="00A77B55" w:rsidRPr="00A77B55" w:rsidRDefault="00A77B55" w:rsidP="00A77B55">
      <w:pPr>
        <w:shd w:val="clear" w:color="auto" w:fill="FFFFFF"/>
        <w:spacing w:before="225" w:after="225" w:line="240" w:lineRule="auto"/>
        <w:outlineLvl w:val="2"/>
        <w:rPr>
          <w:rFonts w:ascii="Arial" w:eastAsia="Times New Roman" w:hAnsi="Arial" w:cs="Arial"/>
          <w:b/>
          <w:bCs/>
          <w:color w:val="1E1E96"/>
          <w:sz w:val="21"/>
          <w:szCs w:val="21"/>
          <w:lang w:val="fr-FR"/>
        </w:rPr>
      </w:pPr>
      <w:r w:rsidRPr="00A77B55">
        <w:rPr>
          <w:rFonts w:ascii="Arial" w:eastAsia="Times New Roman" w:hAnsi="Arial" w:cs="Arial"/>
          <w:b/>
          <w:bCs/>
          <w:color w:val="1E1E96"/>
          <w:sz w:val="21"/>
          <w:szCs w:val="21"/>
          <w:lang w:val="fr-FR"/>
        </w:rPr>
        <w:t>Quelques limites</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La moyenne d’âge des patients étudiés est faible (56 ans), faisant baisser le risque d’accidents hémorragiques (peu de co-morbidités, en particulier d’insuffisance rénale).</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Les patients sélectionnés ne justifiaient pas tous d’une indication impérative de traitement anticoagulant au long cours. La durée d’enquête de RE-MEDY  et RE-SONATE a été modifiée en cours d’étude, afin d’augmenter le nombre d’inclusions, du fait d’un taux d’événement trop faible.</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Les études ont été réalisées avec le soutien des laboratoires fabricants.</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En conclusion, malgré ces résultats qui peuvent paraitre séduisants, une galénique intéressante et une absence de surveillance et d’adaptation de l’efficacité thérapeutique, des études complémentaires sont nécessaires pour déterminer quel traitement de la prévention de la récidive des ETEV (NACO, warfarine ou aspirine) présente le meilleur rapport bénéfices-risques.Il ne faut pas oublier qu’à ce jour, il n’existe aucun antidote disponible en cas d’accident hémorragique sous NACO, contrairement aux AVK ou à l’aspirine.</w:t>
      </w:r>
      <w:r w:rsidRPr="00A77B55">
        <w:rPr>
          <w:rFonts w:ascii="Arial" w:eastAsia="Times New Roman" w:hAnsi="Arial" w:cs="Arial"/>
          <w:color w:val="333333"/>
          <w:sz w:val="18"/>
          <w:szCs w:val="18"/>
          <w:lang w:val="fr-FR"/>
        </w:rPr>
        <w:br/>
        <w:t>RE-MEDY a également mis en évidence un risque d’insuffisance coronarienne plus élevé sous dabigatran (13patients sur 1 430 étudiés) que sous warfarine (3/1426), ce qui mérite d’être réévalué.</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Une stratification précise des groupes à risque majeur de récidive des ETEV est également nécessaire, afin de personnaliser la prise en charge thérapeutique d’une manière optimale entre les différents produits à notre disposition et de valider les schémas ci-dessous :</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Aspirine pour les patients à très faible risque de récidive, mais désireux d’une « protection »</w:t>
      </w:r>
    </w:p>
    <w:p w:rsidR="00A77B55" w:rsidRPr="00A77B55" w:rsidRDefault="00A77B55" w:rsidP="00A77B55">
      <w:pPr>
        <w:shd w:val="clear" w:color="auto" w:fill="FFFFFF"/>
        <w:spacing w:after="75" w:line="240" w:lineRule="auto"/>
        <w:rPr>
          <w:rFonts w:ascii="Arial" w:eastAsia="Times New Roman" w:hAnsi="Arial" w:cs="Arial"/>
          <w:color w:val="333333"/>
          <w:sz w:val="18"/>
          <w:szCs w:val="18"/>
          <w:lang w:val="fr-FR"/>
        </w:rPr>
      </w:pPr>
      <w:r w:rsidRPr="00A77B55">
        <w:rPr>
          <w:rFonts w:ascii="Arial" w:eastAsia="Times New Roman" w:hAnsi="Arial" w:cs="Arial"/>
          <w:color w:val="333333"/>
          <w:sz w:val="18"/>
          <w:szCs w:val="18"/>
          <w:lang w:val="fr-FR"/>
        </w:rPr>
        <w:t>Warfarine ou NACO (rivaroxaban), pour les patients à risque majeur de récidive, ou à risque de séquelles fonctionnelles majeures en cas de récidive d’ETEV.</w:t>
      </w:r>
    </w:p>
    <w:p w:rsidR="00A77B55" w:rsidRPr="00A77B55" w:rsidRDefault="00A77B55" w:rsidP="00A77B55">
      <w:pPr>
        <w:shd w:val="clear" w:color="auto" w:fill="FFFFFF"/>
        <w:spacing w:after="240" w:line="240" w:lineRule="auto"/>
        <w:rPr>
          <w:rFonts w:ascii="Arial" w:eastAsia="Times New Roman" w:hAnsi="Arial" w:cs="Arial"/>
          <w:color w:val="333333"/>
          <w:sz w:val="18"/>
          <w:szCs w:val="18"/>
          <w:lang w:val="fr-FR"/>
        </w:rPr>
      </w:pPr>
    </w:p>
    <w:p w:rsidR="00A77B55" w:rsidRPr="00A77B55" w:rsidRDefault="00A77B55" w:rsidP="00A77B55">
      <w:pPr>
        <w:shd w:val="clear" w:color="auto" w:fill="FFFFFF"/>
        <w:spacing w:after="75" w:line="240" w:lineRule="auto"/>
        <w:rPr>
          <w:rFonts w:ascii="Arial" w:eastAsia="Times New Roman" w:hAnsi="Arial" w:cs="Arial"/>
          <w:color w:val="333333"/>
          <w:sz w:val="18"/>
          <w:szCs w:val="18"/>
        </w:rPr>
      </w:pPr>
      <w:proofErr w:type="spellStart"/>
      <w:r w:rsidRPr="00A77B55">
        <w:rPr>
          <w:rFonts w:ascii="Arial" w:eastAsia="Times New Roman" w:hAnsi="Arial" w:cs="Arial"/>
          <w:color w:val="333333"/>
          <w:sz w:val="18"/>
          <w:szCs w:val="18"/>
        </w:rPr>
        <w:t>Dr</w:t>
      </w:r>
      <w:proofErr w:type="spellEnd"/>
      <w:r w:rsidRPr="00A77B55">
        <w:rPr>
          <w:rFonts w:ascii="Arial" w:eastAsia="Times New Roman" w:hAnsi="Arial" w:cs="Arial"/>
          <w:color w:val="333333"/>
          <w:sz w:val="18"/>
          <w:szCs w:val="18"/>
        </w:rPr>
        <w:t xml:space="preserve"> Monique </w:t>
      </w:r>
      <w:proofErr w:type="spellStart"/>
      <w:r w:rsidRPr="00A77B55">
        <w:rPr>
          <w:rFonts w:ascii="Arial" w:eastAsia="Times New Roman" w:hAnsi="Arial" w:cs="Arial"/>
          <w:color w:val="333333"/>
          <w:sz w:val="18"/>
          <w:szCs w:val="18"/>
        </w:rPr>
        <w:t>Carlier</w:t>
      </w:r>
      <w:proofErr w:type="spellEnd"/>
    </w:p>
    <w:p w:rsidR="00A77B55" w:rsidRPr="00A77B55" w:rsidRDefault="00A77B55" w:rsidP="00A77B55">
      <w:pPr>
        <w:shd w:val="clear" w:color="auto" w:fill="FFFFFF"/>
        <w:spacing w:after="0" w:line="240" w:lineRule="auto"/>
        <w:rPr>
          <w:rFonts w:ascii="Arial" w:eastAsia="Times New Roman" w:hAnsi="Arial" w:cs="Arial"/>
          <w:color w:val="333333"/>
          <w:sz w:val="18"/>
          <w:szCs w:val="18"/>
        </w:rPr>
      </w:pPr>
    </w:p>
    <w:p w:rsidR="00A77B55" w:rsidRPr="00A77B55" w:rsidRDefault="00A77B55" w:rsidP="00A77B55">
      <w:pPr>
        <w:shd w:val="clear" w:color="auto" w:fill="FFFFFF"/>
        <w:spacing w:after="75" w:line="240" w:lineRule="auto"/>
        <w:rPr>
          <w:rFonts w:ascii="Arial" w:eastAsia="Times New Roman" w:hAnsi="Arial" w:cs="Arial"/>
          <w:color w:val="333333"/>
          <w:sz w:val="18"/>
          <w:szCs w:val="18"/>
        </w:rPr>
      </w:pPr>
      <w:r w:rsidRPr="00A77B55">
        <w:rPr>
          <w:rFonts w:ascii="Arial" w:eastAsia="Times New Roman" w:hAnsi="Arial" w:cs="Arial"/>
          <w:i/>
          <w:iCs/>
          <w:color w:val="333333"/>
          <w:sz w:val="18"/>
          <w:szCs w:val="18"/>
        </w:rPr>
        <w:t xml:space="preserve">Connors </w:t>
      </w:r>
      <w:proofErr w:type="gramStart"/>
      <w:r w:rsidRPr="00A77B55">
        <w:rPr>
          <w:rFonts w:ascii="Arial" w:eastAsia="Times New Roman" w:hAnsi="Arial" w:cs="Arial"/>
          <w:i/>
          <w:iCs/>
          <w:color w:val="333333"/>
          <w:sz w:val="18"/>
          <w:szCs w:val="18"/>
        </w:rPr>
        <w:t>JM :</w:t>
      </w:r>
      <w:proofErr w:type="gramEnd"/>
      <w:r w:rsidRPr="00A77B55">
        <w:rPr>
          <w:rFonts w:ascii="Arial" w:eastAsia="Times New Roman" w:hAnsi="Arial" w:cs="Arial"/>
          <w:i/>
          <w:iCs/>
          <w:color w:val="333333"/>
          <w:sz w:val="18"/>
          <w:szCs w:val="18"/>
        </w:rPr>
        <w:t xml:space="preserve"> Extended treatment of venous thromboembolism. N </w:t>
      </w:r>
      <w:proofErr w:type="spellStart"/>
      <w:r w:rsidRPr="00A77B55">
        <w:rPr>
          <w:rFonts w:ascii="Arial" w:eastAsia="Times New Roman" w:hAnsi="Arial" w:cs="Arial"/>
          <w:i/>
          <w:iCs/>
          <w:color w:val="333333"/>
          <w:sz w:val="18"/>
          <w:szCs w:val="18"/>
        </w:rPr>
        <w:t>Engl</w:t>
      </w:r>
      <w:proofErr w:type="spellEnd"/>
      <w:r w:rsidRPr="00A77B55">
        <w:rPr>
          <w:rFonts w:ascii="Arial" w:eastAsia="Times New Roman" w:hAnsi="Arial" w:cs="Arial"/>
          <w:i/>
          <w:iCs/>
          <w:color w:val="333333"/>
          <w:sz w:val="18"/>
          <w:szCs w:val="18"/>
        </w:rPr>
        <w:t xml:space="preserve"> J Med., 2013; 368:767-769. </w:t>
      </w:r>
      <w:proofErr w:type="spellStart"/>
      <w:proofErr w:type="gramStart"/>
      <w:r w:rsidRPr="00A77B55">
        <w:rPr>
          <w:rFonts w:ascii="Arial" w:eastAsia="Times New Roman" w:hAnsi="Arial" w:cs="Arial"/>
          <w:i/>
          <w:iCs/>
          <w:color w:val="333333"/>
          <w:sz w:val="18"/>
          <w:szCs w:val="18"/>
        </w:rPr>
        <w:t>doi</w:t>
      </w:r>
      <w:proofErr w:type="spellEnd"/>
      <w:proofErr w:type="gramEnd"/>
      <w:r w:rsidRPr="00A77B55">
        <w:rPr>
          <w:rFonts w:ascii="Arial" w:eastAsia="Times New Roman" w:hAnsi="Arial" w:cs="Arial"/>
          <w:i/>
          <w:iCs/>
          <w:color w:val="333333"/>
          <w:sz w:val="18"/>
          <w:szCs w:val="18"/>
        </w:rPr>
        <w:t>: 10.1056/NEJMe1215678.</w:t>
      </w:r>
      <w:r w:rsidRPr="00A77B55">
        <w:rPr>
          <w:rFonts w:ascii="Arial" w:eastAsia="Times New Roman" w:hAnsi="Arial" w:cs="Arial"/>
          <w:i/>
          <w:iCs/>
          <w:color w:val="333333"/>
          <w:sz w:val="18"/>
          <w:szCs w:val="18"/>
        </w:rPr>
        <w:br/>
      </w:r>
      <w:proofErr w:type="spellStart"/>
      <w:r w:rsidRPr="00A77B55">
        <w:rPr>
          <w:rFonts w:ascii="Arial" w:eastAsia="Times New Roman" w:hAnsi="Arial" w:cs="Arial"/>
          <w:i/>
          <w:iCs/>
          <w:color w:val="333333"/>
          <w:sz w:val="18"/>
          <w:szCs w:val="18"/>
        </w:rPr>
        <w:t>Agnelli</w:t>
      </w:r>
      <w:proofErr w:type="spellEnd"/>
      <w:r w:rsidRPr="00A77B55">
        <w:rPr>
          <w:rFonts w:ascii="Arial" w:eastAsia="Times New Roman" w:hAnsi="Arial" w:cs="Arial"/>
          <w:i/>
          <w:iCs/>
          <w:color w:val="333333"/>
          <w:sz w:val="18"/>
          <w:szCs w:val="18"/>
        </w:rPr>
        <w:t xml:space="preserve"> G et coll</w:t>
      </w:r>
      <w:proofErr w:type="gramStart"/>
      <w:r w:rsidRPr="00A77B55">
        <w:rPr>
          <w:rFonts w:ascii="Arial" w:eastAsia="Times New Roman" w:hAnsi="Arial" w:cs="Arial"/>
          <w:i/>
          <w:iCs/>
          <w:color w:val="333333"/>
          <w:sz w:val="18"/>
          <w:szCs w:val="18"/>
        </w:rPr>
        <w:t>. :</w:t>
      </w:r>
      <w:proofErr w:type="gramEnd"/>
      <w:r w:rsidRPr="00A77B55">
        <w:rPr>
          <w:rFonts w:ascii="Arial" w:eastAsia="Times New Roman" w:hAnsi="Arial" w:cs="Arial"/>
          <w:i/>
          <w:iCs/>
          <w:color w:val="333333"/>
          <w:sz w:val="18"/>
          <w:szCs w:val="18"/>
        </w:rPr>
        <w:t xml:space="preserve"> </w:t>
      </w:r>
      <w:proofErr w:type="spellStart"/>
      <w:r w:rsidRPr="00A77B55">
        <w:rPr>
          <w:rFonts w:ascii="Arial" w:eastAsia="Times New Roman" w:hAnsi="Arial" w:cs="Arial"/>
          <w:i/>
          <w:iCs/>
          <w:color w:val="333333"/>
          <w:sz w:val="18"/>
          <w:szCs w:val="18"/>
        </w:rPr>
        <w:t>Apixaban</w:t>
      </w:r>
      <w:proofErr w:type="spellEnd"/>
      <w:r w:rsidRPr="00A77B55">
        <w:rPr>
          <w:rFonts w:ascii="Arial" w:eastAsia="Times New Roman" w:hAnsi="Arial" w:cs="Arial"/>
          <w:i/>
          <w:iCs/>
          <w:color w:val="333333"/>
          <w:sz w:val="18"/>
          <w:szCs w:val="18"/>
        </w:rPr>
        <w:t xml:space="preserve"> for extended treatment of venous thromboembolism. N </w:t>
      </w:r>
      <w:proofErr w:type="spellStart"/>
      <w:r w:rsidRPr="00A77B55">
        <w:rPr>
          <w:rFonts w:ascii="Arial" w:eastAsia="Times New Roman" w:hAnsi="Arial" w:cs="Arial"/>
          <w:i/>
          <w:iCs/>
          <w:color w:val="333333"/>
          <w:sz w:val="18"/>
          <w:szCs w:val="18"/>
        </w:rPr>
        <w:t>Engl</w:t>
      </w:r>
      <w:proofErr w:type="spellEnd"/>
      <w:r w:rsidRPr="00A77B55">
        <w:rPr>
          <w:rFonts w:ascii="Arial" w:eastAsia="Times New Roman" w:hAnsi="Arial" w:cs="Arial"/>
          <w:i/>
          <w:iCs/>
          <w:color w:val="333333"/>
          <w:sz w:val="18"/>
          <w:szCs w:val="18"/>
        </w:rPr>
        <w:t xml:space="preserve"> J Med., </w:t>
      </w:r>
      <w:proofErr w:type="gramStart"/>
      <w:r w:rsidRPr="00A77B55">
        <w:rPr>
          <w:rFonts w:ascii="Arial" w:eastAsia="Times New Roman" w:hAnsi="Arial" w:cs="Arial"/>
          <w:i/>
          <w:iCs/>
          <w:color w:val="333333"/>
          <w:sz w:val="18"/>
          <w:szCs w:val="18"/>
        </w:rPr>
        <w:t>2013 ;368</w:t>
      </w:r>
      <w:proofErr w:type="gramEnd"/>
      <w:r w:rsidRPr="00A77B55">
        <w:rPr>
          <w:rFonts w:ascii="Arial" w:eastAsia="Times New Roman" w:hAnsi="Arial" w:cs="Arial"/>
          <w:i/>
          <w:iCs/>
          <w:color w:val="333333"/>
          <w:sz w:val="18"/>
          <w:szCs w:val="18"/>
        </w:rPr>
        <w:t xml:space="preserve"> :699-708. </w:t>
      </w:r>
      <w:proofErr w:type="spellStart"/>
      <w:proofErr w:type="gramStart"/>
      <w:r w:rsidRPr="00A77B55">
        <w:rPr>
          <w:rFonts w:ascii="Arial" w:eastAsia="Times New Roman" w:hAnsi="Arial" w:cs="Arial"/>
          <w:i/>
          <w:iCs/>
          <w:color w:val="333333"/>
          <w:sz w:val="18"/>
          <w:szCs w:val="18"/>
        </w:rPr>
        <w:lastRenderedPageBreak/>
        <w:t>doi</w:t>
      </w:r>
      <w:proofErr w:type="spellEnd"/>
      <w:proofErr w:type="gramEnd"/>
      <w:r w:rsidRPr="00A77B55">
        <w:rPr>
          <w:rFonts w:ascii="Arial" w:eastAsia="Times New Roman" w:hAnsi="Arial" w:cs="Arial"/>
          <w:i/>
          <w:iCs/>
          <w:color w:val="333333"/>
          <w:sz w:val="18"/>
          <w:szCs w:val="18"/>
        </w:rPr>
        <w:t>: 10.1056/NEJMoa1207541.</w:t>
      </w:r>
      <w:r w:rsidRPr="00A77B55">
        <w:rPr>
          <w:rFonts w:ascii="Arial" w:eastAsia="Times New Roman" w:hAnsi="Arial" w:cs="Arial"/>
          <w:i/>
          <w:iCs/>
          <w:color w:val="333333"/>
          <w:sz w:val="18"/>
          <w:szCs w:val="18"/>
        </w:rPr>
        <w:br/>
        <w:t xml:space="preserve">Schulman </w:t>
      </w:r>
      <w:proofErr w:type="spellStart"/>
      <w:r w:rsidRPr="00A77B55">
        <w:rPr>
          <w:rFonts w:ascii="Arial" w:eastAsia="Times New Roman" w:hAnsi="Arial" w:cs="Arial"/>
          <w:i/>
          <w:iCs/>
          <w:color w:val="333333"/>
          <w:sz w:val="18"/>
          <w:szCs w:val="18"/>
        </w:rPr>
        <w:t>S et</w:t>
      </w:r>
      <w:proofErr w:type="spellEnd"/>
      <w:r w:rsidRPr="00A77B55">
        <w:rPr>
          <w:rFonts w:ascii="Arial" w:eastAsia="Times New Roman" w:hAnsi="Arial" w:cs="Arial"/>
          <w:i/>
          <w:iCs/>
          <w:color w:val="333333"/>
          <w:sz w:val="18"/>
          <w:szCs w:val="18"/>
        </w:rPr>
        <w:t xml:space="preserve"> coll</w:t>
      </w:r>
      <w:proofErr w:type="gramStart"/>
      <w:r w:rsidRPr="00A77B55">
        <w:rPr>
          <w:rFonts w:ascii="Arial" w:eastAsia="Times New Roman" w:hAnsi="Arial" w:cs="Arial"/>
          <w:i/>
          <w:iCs/>
          <w:color w:val="333333"/>
          <w:sz w:val="18"/>
          <w:szCs w:val="18"/>
        </w:rPr>
        <w:t>. :</w:t>
      </w:r>
      <w:proofErr w:type="gramEnd"/>
      <w:r w:rsidRPr="00A77B55">
        <w:rPr>
          <w:rFonts w:ascii="Arial" w:eastAsia="Times New Roman" w:hAnsi="Arial" w:cs="Arial"/>
          <w:i/>
          <w:iCs/>
          <w:color w:val="333333"/>
          <w:sz w:val="18"/>
          <w:szCs w:val="18"/>
        </w:rPr>
        <w:t xml:space="preserve"> Extended use of </w:t>
      </w:r>
      <w:proofErr w:type="spellStart"/>
      <w:r w:rsidRPr="00A77B55">
        <w:rPr>
          <w:rFonts w:ascii="Arial" w:eastAsia="Times New Roman" w:hAnsi="Arial" w:cs="Arial"/>
          <w:i/>
          <w:iCs/>
          <w:color w:val="333333"/>
          <w:sz w:val="18"/>
          <w:szCs w:val="18"/>
        </w:rPr>
        <w:t>dabigatran</w:t>
      </w:r>
      <w:proofErr w:type="spellEnd"/>
      <w:r w:rsidRPr="00A77B55">
        <w:rPr>
          <w:rFonts w:ascii="Arial" w:eastAsia="Times New Roman" w:hAnsi="Arial" w:cs="Arial"/>
          <w:i/>
          <w:iCs/>
          <w:color w:val="333333"/>
          <w:sz w:val="18"/>
          <w:szCs w:val="18"/>
        </w:rPr>
        <w:t xml:space="preserve">, warfarin, or placebo in venous thromboembolism. N </w:t>
      </w:r>
      <w:proofErr w:type="spellStart"/>
      <w:r w:rsidRPr="00A77B55">
        <w:rPr>
          <w:rFonts w:ascii="Arial" w:eastAsia="Times New Roman" w:hAnsi="Arial" w:cs="Arial"/>
          <w:i/>
          <w:iCs/>
          <w:color w:val="333333"/>
          <w:sz w:val="18"/>
          <w:szCs w:val="18"/>
        </w:rPr>
        <w:t>Engl</w:t>
      </w:r>
      <w:proofErr w:type="spellEnd"/>
      <w:r w:rsidRPr="00A77B55">
        <w:rPr>
          <w:rFonts w:ascii="Arial" w:eastAsia="Times New Roman" w:hAnsi="Arial" w:cs="Arial"/>
          <w:i/>
          <w:iCs/>
          <w:color w:val="333333"/>
          <w:sz w:val="18"/>
          <w:szCs w:val="18"/>
        </w:rPr>
        <w:t xml:space="preserve"> J Med., </w:t>
      </w:r>
      <w:proofErr w:type="gramStart"/>
      <w:r w:rsidRPr="00A77B55">
        <w:rPr>
          <w:rFonts w:ascii="Arial" w:eastAsia="Times New Roman" w:hAnsi="Arial" w:cs="Arial"/>
          <w:i/>
          <w:iCs/>
          <w:color w:val="333333"/>
          <w:sz w:val="18"/>
          <w:szCs w:val="18"/>
        </w:rPr>
        <w:t>2013 ;368</w:t>
      </w:r>
      <w:proofErr w:type="gramEnd"/>
      <w:r w:rsidRPr="00A77B55">
        <w:rPr>
          <w:rFonts w:ascii="Arial" w:eastAsia="Times New Roman" w:hAnsi="Arial" w:cs="Arial"/>
          <w:i/>
          <w:iCs/>
          <w:color w:val="333333"/>
          <w:sz w:val="18"/>
          <w:szCs w:val="18"/>
        </w:rPr>
        <w:t xml:space="preserve"> :709-718. </w:t>
      </w:r>
      <w:proofErr w:type="spellStart"/>
      <w:proofErr w:type="gramStart"/>
      <w:r w:rsidRPr="00A77B55">
        <w:rPr>
          <w:rFonts w:ascii="Arial" w:eastAsia="Times New Roman" w:hAnsi="Arial" w:cs="Arial"/>
          <w:i/>
          <w:iCs/>
          <w:color w:val="333333"/>
          <w:sz w:val="18"/>
          <w:szCs w:val="18"/>
        </w:rPr>
        <w:t>doi</w:t>
      </w:r>
      <w:proofErr w:type="spellEnd"/>
      <w:proofErr w:type="gramEnd"/>
      <w:r w:rsidRPr="00A77B55">
        <w:rPr>
          <w:rFonts w:ascii="Arial" w:eastAsia="Times New Roman" w:hAnsi="Arial" w:cs="Arial"/>
          <w:i/>
          <w:iCs/>
          <w:color w:val="333333"/>
          <w:sz w:val="18"/>
          <w:szCs w:val="18"/>
        </w:rPr>
        <w:t>: 10.1056/NEJMoa1113697.</w:t>
      </w:r>
    </w:p>
    <w:p w:rsidR="00C20235" w:rsidRDefault="006D094B"/>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TNEJMQuadraat">
    <w:altName w:val="Times New Roman"/>
    <w:panose1 w:val="00000000000000000000"/>
    <w:charset w:val="00"/>
    <w:family w:val="roman"/>
    <w:notTrueType/>
    <w:pitch w:val="default"/>
  </w:font>
  <w:font w:name="OTNEJMScalaSansL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A3"/>
    <w:rsid w:val="00621C32"/>
    <w:rsid w:val="006D094B"/>
    <w:rsid w:val="00970A17"/>
    <w:rsid w:val="00A77B55"/>
    <w:rsid w:val="00B24E4D"/>
    <w:rsid w:val="00BA5FA3"/>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B55"/>
    <w:rPr>
      <w:rFonts w:ascii="Tahoma" w:hAnsi="Tahoma" w:cs="Tahoma"/>
      <w:sz w:val="16"/>
      <w:szCs w:val="16"/>
    </w:rPr>
  </w:style>
  <w:style w:type="paragraph" w:styleId="NormalWeb">
    <w:name w:val="Normal (Web)"/>
    <w:basedOn w:val="Normal"/>
    <w:uiPriority w:val="99"/>
    <w:semiHidden/>
    <w:unhideWhenUsed/>
    <w:rsid w:val="006D094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D0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B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B55"/>
    <w:rPr>
      <w:rFonts w:ascii="Tahoma" w:hAnsi="Tahoma" w:cs="Tahoma"/>
      <w:sz w:val="16"/>
      <w:szCs w:val="16"/>
    </w:rPr>
  </w:style>
  <w:style w:type="paragraph" w:styleId="NormalWeb">
    <w:name w:val="Normal (Web)"/>
    <w:basedOn w:val="Normal"/>
    <w:uiPriority w:val="99"/>
    <w:semiHidden/>
    <w:unhideWhenUsed/>
    <w:rsid w:val="006D094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D0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09787">
      <w:bodyDiv w:val="1"/>
      <w:marLeft w:val="0"/>
      <w:marRight w:val="0"/>
      <w:marTop w:val="0"/>
      <w:marBottom w:val="0"/>
      <w:divBdr>
        <w:top w:val="none" w:sz="0" w:space="0" w:color="auto"/>
        <w:left w:val="none" w:sz="0" w:space="0" w:color="auto"/>
        <w:bottom w:val="none" w:sz="0" w:space="0" w:color="auto"/>
        <w:right w:val="none" w:sz="0" w:space="0" w:color="auto"/>
      </w:divBdr>
      <w:divsChild>
        <w:div w:id="1690450059">
          <w:marLeft w:val="0"/>
          <w:marRight w:val="0"/>
          <w:marTop w:val="0"/>
          <w:marBottom w:val="0"/>
          <w:divBdr>
            <w:top w:val="none" w:sz="0" w:space="0" w:color="auto"/>
            <w:left w:val="none" w:sz="0" w:space="0" w:color="auto"/>
            <w:bottom w:val="none" w:sz="0" w:space="0" w:color="auto"/>
            <w:right w:val="none" w:sz="0" w:space="0" w:color="auto"/>
          </w:divBdr>
        </w:div>
        <w:div w:id="923416988">
          <w:marLeft w:val="0"/>
          <w:marRight w:val="0"/>
          <w:marTop w:val="0"/>
          <w:marBottom w:val="0"/>
          <w:divBdr>
            <w:top w:val="none" w:sz="0" w:space="0" w:color="auto"/>
            <w:left w:val="none" w:sz="0" w:space="0" w:color="auto"/>
            <w:bottom w:val="none" w:sz="0" w:space="0" w:color="auto"/>
            <w:right w:val="none" w:sz="0" w:space="0" w:color="auto"/>
          </w:divBdr>
          <w:divsChild>
            <w:div w:id="16267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2347">
      <w:bodyDiv w:val="1"/>
      <w:marLeft w:val="0"/>
      <w:marRight w:val="0"/>
      <w:marTop w:val="0"/>
      <w:marBottom w:val="0"/>
      <w:divBdr>
        <w:top w:val="none" w:sz="0" w:space="0" w:color="auto"/>
        <w:left w:val="none" w:sz="0" w:space="0" w:color="auto"/>
        <w:bottom w:val="none" w:sz="0" w:space="0" w:color="auto"/>
        <w:right w:val="none" w:sz="0" w:space="0" w:color="auto"/>
      </w:divBdr>
      <w:divsChild>
        <w:div w:id="1313099629">
          <w:marLeft w:val="0"/>
          <w:marRight w:val="0"/>
          <w:marTop w:val="0"/>
          <w:marBottom w:val="0"/>
          <w:divBdr>
            <w:top w:val="none" w:sz="0" w:space="0" w:color="auto"/>
            <w:left w:val="none" w:sz="0" w:space="0" w:color="auto"/>
            <w:bottom w:val="none" w:sz="0" w:space="0" w:color="auto"/>
            <w:right w:val="none" w:sz="0" w:space="0" w:color="auto"/>
          </w:divBdr>
          <w:divsChild>
            <w:div w:id="550845096">
              <w:marLeft w:val="0"/>
              <w:marRight w:val="0"/>
              <w:marTop w:val="0"/>
              <w:marBottom w:val="0"/>
              <w:divBdr>
                <w:top w:val="none" w:sz="0" w:space="0" w:color="auto"/>
                <w:left w:val="none" w:sz="0" w:space="0" w:color="auto"/>
                <w:bottom w:val="none" w:sz="0" w:space="0" w:color="auto"/>
                <w:right w:val="none" w:sz="0" w:space="0" w:color="auto"/>
              </w:divBdr>
              <w:divsChild>
                <w:div w:id="953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im.fr/print/e-docs/00/02/19/12/document_actu_med.phtml" TargetMode="External"/><Relationship Id="rId18" Type="http://schemas.openxmlformats.org/officeDocument/2006/relationships/image" Target="media/image6.gi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javascript:selectStyleSheet(-2);;" TargetMode="External"/><Relationship Id="rId7" Type="http://schemas.openxmlformats.org/officeDocument/2006/relationships/hyperlink" Target="http://www.jim.fr/e-docs/00/02/19/12/index.phtml#reactions" TargetMode="External"/><Relationship Id="rId12" Type="http://schemas.openxmlformats.org/officeDocument/2006/relationships/image" Target="media/image3.png"/><Relationship Id="rId17" Type="http://schemas.openxmlformats.org/officeDocument/2006/relationships/hyperlink" Target="http://www.jim.fr/mail/reagir.phtml?cle_doc=137490" TargetMode="External"/><Relationship Id="rId25" Type="http://schemas.openxmlformats.org/officeDocument/2006/relationships/image" Target="media/image10.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www.jim.fr/e-docs/00/02/19/12/index.phtml" TargetMode="External"/><Relationship Id="rId11" Type="http://schemas.openxmlformats.org/officeDocument/2006/relationships/hyperlink" Target="http://www.facebook.com/sharer.php?u=http://www.jim.fr/e-docs/00/02/19/12/document_actu_med.phtml" TargetMode="External"/><Relationship Id="rId24" Type="http://schemas.openxmlformats.org/officeDocument/2006/relationships/image" Target="media/image9.gif"/><Relationship Id="rId32" Type="http://schemas.openxmlformats.org/officeDocument/2006/relationships/fontTable" Target="fontTable.xml"/><Relationship Id="rId5" Type="http://schemas.openxmlformats.org/officeDocument/2006/relationships/hyperlink" Target="http://www.nejm.org/doi/pdf/10.1056/NEJMoa1114238" TargetMode="External"/><Relationship Id="rId15" Type="http://schemas.openxmlformats.org/officeDocument/2006/relationships/hyperlink" Target="http://www.jim.fr/mail/index.phtml?url=http://www.jim.fr/e-docs/00/02/19/12/document_actu_med.phtml" TargetMode="External"/><Relationship Id="rId23" Type="http://schemas.openxmlformats.org/officeDocument/2006/relationships/hyperlink" Target="javascript:selectStyleSheet(2);;" TargetMode="External"/><Relationship Id="rId28" Type="http://schemas.openxmlformats.org/officeDocument/2006/relationships/image" Target="media/image12.wmf"/><Relationship Id="rId10" Type="http://schemas.openxmlformats.org/officeDocument/2006/relationships/image" Target="media/image2.png"/><Relationship Id="rId19" Type="http://schemas.openxmlformats.org/officeDocument/2006/relationships/hyperlink" Target="http://www.jim.fr/e-docs/00/02/19/12/enreg_biblio.phtml"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twitter.com/intent/tweet?text=Nouveaux+anticoagulants+oraux+au+long+cours+apr%C3%A8s+un+accident+thrombo-embolique,+vraiment+s%C3%A9duisants+?+++:+http://www.jim.fr/21912"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control" Target="activeX/activeX1.xml"/><Relationship Id="rId30" Type="http://schemas.openxmlformats.org/officeDocument/2006/relationships/hyperlink" Target="http://www.jim.fr/e-docs/00/02/19/13/media_tableaugrand.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3</cp:revision>
  <dcterms:created xsi:type="dcterms:W3CDTF">2013-02-27T15:35:00Z</dcterms:created>
  <dcterms:modified xsi:type="dcterms:W3CDTF">2013-03-15T10:50:00Z</dcterms:modified>
</cp:coreProperties>
</file>