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F0" w:rsidRPr="007E4FDB" w:rsidRDefault="004951F0" w:rsidP="00495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RUTHERFORD’S VASCULAR SURGERY AND ENDOVASCULAR</w:t>
      </w:r>
    </w:p>
    <w:p w:rsidR="004951F0" w:rsidRPr="007E4FDB" w:rsidRDefault="004951F0" w:rsidP="00495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THERAPY, NINTH EDITION</w:t>
      </w:r>
    </w:p>
    <w:p w:rsidR="004951F0" w:rsidRPr="007E4FDB" w:rsidRDefault="004951F0" w:rsidP="00495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ISBN: 978-0-323-42791-3</w:t>
      </w:r>
    </w:p>
    <w:p w:rsidR="004951F0" w:rsidRPr="007E4FDB" w:rsidRDefault="004951F0" w:rsidP="00495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Volume 1 Part Number: 999611774X</w:t>
      </w:r>
    </w:p>
    <w:p w:rsidR="004951F0" w:rsidRPr="007E4FDB" w:rsidRDefault="004951F0" w:rsidP="00495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Volume 2 Part Number: 9996117804</w:t>
      </w:r>
    </w:p>
    <w:p w:rsidR="00F5511A" w:rsidRPr="007E4FDB" w:rsidRDefault="004951F0" w:rsidP="004951F0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proofErr w:type="gramStart"/>
      <w:r w:rsidRPr="007E4FD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Copyright © 2019 by Elsevier, Inc.</w:t>
      </w:r>
      <w:proofErr w:type="gramEnd"/>
      <w:r w:rsidRPr="007E4FD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All rights reserved.</w:t>
      </w:r>
    </w:p>
    <w:p w:rsidR="00895C00" w:rsidRPr="007E4FDB" w:rsidRDefault="00895C00" w:rsidP="0089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E4FDB">
        <w:rPr>
          <w:rFonts w:ascii="Arial" w:hAnsi="Arial" w:cs="Arial"/>
          <w:color w:val="000000" w:themeColor="text1"/>
          <w:sz w:val="24"/>
          <w:szCs w:val="24"/>
        </w:rPr>
        <w:t>SECTION 23</w:t>
      </w:r>
      <w:r w:rsidR="007E4FD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7E4FDB">
        <w:rPr>
          <w:rFonts w:ascii="Arial" w:hAnsi="Arial" w:cs="Arial"/>
          <w:color w:val="000000" w:themeColor="text1"/>
          <w:sz w:val="24"/>
          <w:szCs w:val="24"/>
        </w:rPr>
        <w:t>CHAPTER</w:t>
      </w:r>
      <w:r w:rsidRPr="007E4FDB">
        <w:rPr>
          <w:rFonts w:ascii="Arial" w:hAnsi="Arial" w:cs="Arial"/>
          <w:b/>
          <w:bCs/>
          <w:color w:val="000000" w:themeColor="text1"/>
          <w:sz w:val="24"/>
          <w:szCs w:val="24"/>
        </w:rPr>
        <w:t>154</w:t>
      </w:r>
    </w:p>
    <w:p w:rsidR="00895C00" w:rsidRPr="007E4FDB" w:rsidRDefault="00895C00" w:rsidP="0089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E4FDB">
        <w:rPr>
          <w:rFonts w:ascii="Arial" w:hAnsi="Arial" w:cs="Arial"/>
          <w:color w:val="000000" w:themeColor="text1"/>
          <w:sz w:val="24"/>
          <w:szCs w:val="24"/>
        </w:rPr>
        <w:t>CHRONIC VENOUS DISORDERS</w:t>
      </w:r>
    </w:p>
    <w:p w:rsidR="00895C00" w:rsidRPr="007E4FDB" w:rsidRDefault="00895C00" w:rsidP="0089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</w:rPr>
        <w:t>Varicose</w:t>
      </w:r>
      <w:proofErr w:type="spellEnd"/>
      <w:r w:rsidRPr="007E4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</w:rPr>
        <w:t>Veins</w:t>
      </w:r>
      <w:proofErr w:type="spellEnd"/>
      <w:r w:rsidRPr="007E4FD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</w:rPr>
        <w:t>Surgical</w:t>
      </w:r>
      <w:proofErr w:type="spellEnd"/>
      <w:r w:rsidRPr="007E4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</w:rPr>
        <w:t>Treatment</w:t>
      </w:r>
      <w:proofErr w:type="spellEnd"/>
    </w:p>
    <w:p w:rsidR="00895C00" w:rsidRPr="007E4FDB" w:rsidRDefault="00895C00" w:rsidP="0089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MARK D. IAFRATI and THOMAS F. O’DONNELL Jr.</w:t>
      </w:r>
      <w:proofErr w:type="gramEnd"/>
    </w:p>
    <w:p w:rsidR="004F44E9" w:rsidRPr="007E4FDB" w:rsidRDefault="004F44E9" w:rsidP="0089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7E4FD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Saphenous</w:t>
      </w:r>
      <w:proofErr w:type="spellEnd"/>
      <w:r w:rsidRPr="007E4FD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-Sparing Operations 2030</w:t>
      </w:r>
    </w:p>
    <w:p w:rsidR="004F44E9" w:rsidRPr="007E4FDB" w:rsidRDefault="004F44E9" w:rsidP="004F4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7E4FDB">
        <w:rPr>
          <w:rFonts w:ascii="Arial" w:hAnsi="Arial" w:cs="Arial"/>
          <w:i/>
          <w:iCs/>
          <w:color w:val="000000" w:themeColor="text1"/>
          <w:sz w:val="24"/>
          <w:szCs w:val="24"/>
        </w:rPr>
        <w:t>Conservatrice et Hémodynamique de l’Insuffisance</w:t>
      </w:r>
    </w:p>
    <w:p w:rsidR="004F44E9" w:rsidRPr="007E4FDB" w:rsidRDefault="004F44E9" w:rsidP="004F44E9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proofErr w:type="gramStart"/>
      <w:r w:rsidRPr="007E4FDB">
        <w:rPr>
          <w:rFonts w:ascii="Arial" w:hAnsi="Arial" w:cs="Arial"/>
          <w:i/>
          <w:iCs/>
          <w:color w:val="000000" w:themeColor="text1"/>
          <w:sz w:val="24"/>
          <w:szCs w:val="24"/>
        </w:rPr>
        <w:t>veineuse</w:t>
      </w:r>
      <w:proofErr w:type="gramEnd"/>
      <w:r w:rsidRPr="007E4FDB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en Ambulatoire 2030</w:t>
      </w:r>
    </w:p>
    <w:p w:rsidR="00895C00" w:rsidRPr="007E4FDB" w:rsidRDefault="00895C00" w:rsidP="0089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7E4FDB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Conservatrice et Hémodynamique de l’Insuffisance</w:t>
      </w:r>
    </w:p>
    <w:p w:rsidR="00895C00" w:rsidRPr="007E4FDB" w:rsidRDefault="00895C00" w:rsidP="0089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proofErr w:type="gramStart"/>
      <w:r w:rsidRPr="007E4FDB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veineuse</w:t>
      </w:r>
      <w:proofErr w:type="gramEnd"/>
      <w:r w:rsidRPr="007E4FDB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en Ambulatoire</w:t>
      </w:r>
    </w:p>
    <w:p w:rsidR="00895C00" w:rsidRPr="007E4FDB" w:rsidRDefault="00895C00" w:rsidP="0089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 detailed preoperative duplex ultrasound study determines where the reflux starts, the entry point, and where it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reenters</w:t>
      </w:r>
      <w:proofErr w:type="gram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,with</w:t>
      </w:r>
      <w:proofErr w:type="spellEnd"/>
      <w:proofErr w:type="gramEnd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the goal of promoting normal superficial-to-deep flow</w:t>
      </w:r>
      <w:r w:rsid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through reentry perforating veins during muscular diastole.</w:t>
      </w:r>
    </w:p>
    <w:p w:rsidR="00895C00" w:rsidRPr="007E4FDB" w:rsidRDefault="00895C00" w:rsidP="0089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Determination of the competence of the terminal and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preterminal</w:t>
      </w:r>
      <w:proofErr w:type="spellEnd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valves of the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saphenous</w:t>
      </w:r>
      <w:proofErr w:type="spellEnd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guides the decision of whether it should be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ligated</w:t>
      </w:r>
      <w:proofErr w:type="spellEnd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. The tributaries are assessed for competence (flow</w:t>
      </w:r>
      <w:r w:rsid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into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saphenous</w:t>
      </w:r>
      <w:proofErr w:type="spellEnd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) or incompetence (flow into tributaries and associated varicosities). Incompetent tributaries are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ligated</w:t>
      </w:r>
      <w:proofErr w:type="spellEnd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the varicosities removed.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Franchesci</w:t>
      </w:r>
      <w:proofErr w:type="spellEnd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classified several types of dictate the required surgical steps: type I, with reentry by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avenovenous</w:t>
      </w:r>
      <w:proofErr w:type="spellEnd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shunt at the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saphenous</w:t>
      </w:r>
      <w:proofErr w:type="spellEnd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trunk; type II, with no reflux from the deep system but with reflux from the superficial venous network, not surrounded by the superficial fascia or through a communicating superficial vein; type III, with reentry on an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extrasaphenous</w:t>
      </w:r>
      <w:proofErr w:type="spellEnd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superficial perforator; and type IV, with reflux from the pelvic circulation.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Carandina</w:t>
      </w:r>
      <w:proofErr w:type="spellEnd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associates52 compared CHIVA with standard high-ligation and stripping</w:t>
      </w:r>
      <w:r w:rsid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(HLS) in an RCT of 150 patients. Outcome measures at 10 years were as follows: recurrence of varicose veins (VVs) by objective clinical and duplex criteria; clinical outcome (Hobbs</w:t>
      </w:r>
      <w:r w:rsid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score), as judged by an independent observer; and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patientreported</w:t>
      </w:r>
      <w:proofErr w:type="spellEnd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subjective symptoms. Although there was no difference in the Hobbs score between the two groups, recurrence of VVs</w:t>
      </w:r>
    </w:p>
    <w:p w:rsidR="00895C00" w:rsidRPr="007E4FDB" w:rsidRDefault="00895C00" w:rsidP="0089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at</w:t>
      </w:r>
      <w:proofErr w:type="gramEnd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10 years was lower in the CHIVA group (18%) than in the</w:t>
      </w:r>
      <w:r w:rsidR="007E4FDB"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HLS group (35%) </w:t>
      </w:r>
      <w:proofErr w:type="gram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(</w:t>
      </w:r>
      <w:r w:rsidRPr="007E4FDB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P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&lt;.04).</w:t>
      </w:r>
      <w:proofErr w:type="gramEnd"/>
    </w:p>
    <w:p w:rsidR="00895C00" w:rsidRPr="007E4FDB" w:rsidRDefault="00895C00" w:rsidP="0089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definitive large RCT on CHIVA conducted by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Parés</w:t>
      </w:r>
      <w:proofErr w:type="spellEnd"/>
      <w:r w:rsidR="007E4FDB"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and colleagues53 compared CHIVA with two control groups:</w:t>
      </w:r>
    </w:p>
    <w:p w:rsidR="00895C00" w:rsidRPr="007E4FDB" w:rsidRDefault="00895C00" w:rsidP="00895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gram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HLS as marked clinically and HLS as marked by duplex.</w:t>
      </w:r>
      <w:proofErr w:type="gramEnd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The</w:t>
      </w:r>
      <w:r w:rsidR="007E4FDB"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primary outcome was recurrence of VVs as observed by independent</w:t>
      </w:r>
      <w:r w:rsidR="007E4FDB"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physicians. In this RCT, “cure” of VVs was twice as</w:t>
      </w:r>
      <w:r w:rsid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frequent in the CHIVA group as in the two HLS groups, whereas</w:t>
      </w:r>
      <w:r w:rsidR="007E4FDB"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the OR favoring the CHIVA group was 2.64 (95% CI, 1.76-3.97;</w:t>
      </w:r>
      <w:r w:rsidR="007E4FDB"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P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&lt;.001) over the HLS clinical and 2.01 over the HLS duplex</w:t>
      </w:r>
      <w:r w:rsid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group. Several criticisms, however, have been leveled at the</w:t>
      </w:r>
      <w:r w:rsidR="007E4FDB"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study: (1) the study had a high incidence of patients with mild</w:t>
      </w:r>
      <w:r w:rsidR="007E4FDB"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disease, C2; (2) a significant number of patients underwent</w:t>
      </w:r>
      <w:r w:rsid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treatment for cosmetic purposes in the absence of symptoms;</w:t>
      </w:r>
      <w:r w:rsidR="007E4FDB"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and (3) no patient-reported outcome measure was used—an</w:t>
      </w:r>
      <w:r w:rsidR="007E4FDB"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important consideration in mild disease and particularly when</w:t>
      </w:r>
      <w:r w:rsid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cosmesis</w:t>
      </w:r>
      <w:proofErr w:type="spellEnd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is the indication. Finally, in a small RCT,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Zamboni</w:t>
      </w:r>
      <w:proofErr w:type="spellEnd"/>
      <w:r w:rsidR="007E4FDB"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and associates showed superiority of CHIVA over compression</w:t>
      </w:r>
      <w:r w:rsidR="007E4FDB"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treatment in CEAP C6 patients.52 This RCT, however, had</w:t>
      </w:r>
      <w:r w:rsid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 xml:space="preserve">narrow inclusion/exclusion criteria, no </w:t>
      </w:r>
      <w:proofErr w:type="spell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postthrombotic</w:t>
      </w:r>
      <w:proofErr w:type="spellEnd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limbs,</w:t>
      </w:r>
      <w:r w:rsidR="007E4FDB"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and no deep venous reflux/obstruction. Time to ulcer healing</w:t>
      </w:r>
      <w:r w:rsidR="007E4FDB"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was shortened, and the 38% recurrence rate in the compression</w:t>
      </w:r>
      <w:r w:rsidR="007E4FDB"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group was reduced to 9% in the CHIVA group. </w:t>
      </w:r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CHIVA has</w:t>
      </w:r>
      <w:r w:rsidR="007E4FDB"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shown excellent results in lowering the recurrence of varicose</w:t>
      </w:r>
      <w:r w:rsidR="007E4FDB"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veins; however, despite increasing facility with </w:t>
      </w:r>
      <w:proofErr w:type="spellStart"/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intraoperative</w:t>
      </w:r>
      <w:proofErr w:type="spellEnd"/>
      <w:r w:rsidR="007E4FDB"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DUS and minimally invasive techniques, this approach has not</w:t>
      </w:r>
    </w:p>
    <w:p w:rsidR="00895C00" w:rsidRDefault="00895C00" w:rsidP="00853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found</w:t>
      </w:r>
      <w:proofErr w:type="gramEnd"/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widespread adoption its pure form</w:t>
      </w:r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(see Table 154.1,</w:t>
      </w:r>
      <w:r w:rsidRPr="00853066">
        <w:rPr>
          <w:rFonts w:ascii="Arial" w:hAnsi="Arial" w:cs="Arial"/>
          <w:color w:val="000000" w:themeColor="text1"/>
          <w:sz w:val="24"/>
          <w:szCs w:val="24"/>
          <w:lang w:val="en-US"/>
        </w:rPr>
        <w:t>VVGL 10.5).</w:t>
      </w:r>
    </w:p>
    <w:p w:rsidR="00B60BC3" w:rsidRDefault="00B60BC3" w:rsidP="00853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B60BC3" w:rsidRPr="007E4FDB" w:rsidRDefault="00B60BC3" w:rsidP="00B60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RUTHERFORD’S VASCULAR SURGERY AND ENDOVASCULAR</w:t>
      </w:r>
    </w:p>
    <w:p w:rsidR="00B60BC3" w:rsidRDefault="00B60BC3" w:rsidP="00B60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THERAPY, NIN</w:t>
      </w:r>
      <w:r w:rsidR="00F8568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</w:t>
      </w:r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H EDITION</w:t>
      </w:r>
    </w:p>
    <w:p w:rsidR="00F85687" w:rsidRPr="007E4FDB" w:rsidRDefault="00F85687" w:rsidP="00F856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CHIVA has shown excellent results in lowering the recurrence of varicose veins; however, despite increasing facility with </w:t>
      </w:r>
      <w:proofErr w:type="spellStart"/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intraoperative</w:t>
      </w:r>
      <w:proofErr w:type="spellEnd"/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DUS and minimally invasive techniques, this approach has not</w:t>
      </w:r>
    </w:p>
    <w:p w:rsidR="00F85687" w:rsidRDefault="00F85687" w:rsidP="00F856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gramStart"/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found</w:t>
      </w:r>
      <w:proofErr w:type="gramEnd"/>
      <w:r w:rsidRPr="007E4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widespread adoption its pure form</w:t>
      </w:r>
    </w:p>
    <w:p w:rsidR="00F85687" w:rsidRDefault="00F85687" w:rsidP="00F856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F85687" w:rsidRDefault="00F85687" w:rsidP="00F856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B60BC3" w:rsidRPr="00B60BC3" w:rsidRDefault="00B60BC3" w:rsidP="00B60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B60BC3">
        <w:rPr>
          <w:rFonts w:ascii="Arial" w:hAnsi="Arial" w:cs="Arial"/>
          <w:color w:val="000000" w:themeColor="text1"/>
          <w:sz w:val="24"/>
          <w:szCs w:val="24"/>
          <w:lang w:val="en-US"/>
        </w:rPr>
        <w:t>SECTION 23, CHAPTER</w:t>
      </w:r>
      <w:r w:rsidRPr="00B60BC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154</w:t>
      </w:r>
    </w:p>
    <w:p w:rsidR="00B60BC3" w:rsidRPr="00B60BC3" w:rsidRDefault="00B60BC3" w:rsidP="00B60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B60BC3">
        <w:rPr>
          <w:rFonts w:ascii="Arial" w:hAnsi="Arial" w:cs="Arial"/>
          <w:color w:val="000000" w:themeColor="text1"/>
          <w:sz w:val="24"/>
          <w:szCs w:val="24"/>
          <w:lang w:val="en-US"/>
        </w:rPr>
        <w:t>CHRONIC VENOUS DISORDERS</w:t>
      </w:r>
    </w:p>
    <w:p w:rsidR="00B60BC3" w:rsidRPr="00B60BC3" w:rsidRDefault="00B60BC3" w:rsidP="00B60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60BC3">
        <w:rPr>
          <w:rFonts w:ascii="Arial" w:hAnsi="Arial" w:cs="Arial"/>
          <w:color w:val="000000" w:themeColor="text1"/>
          <w:sz w:val="24"/>
          <w:szCs w:val="24"/>
          <w:lang w:val="en-US"/>
        </w:rPr>
        <w:t>Varicose Veins: Surgical Treatment</w:t>
      </w:r>
    </w:p>
    <w:p w:rsidR="00B60BC3" w:rsidRPr="007E4FDB" w:rsidRDefault="00B60BC3" w:rsidP="00B60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 w:rsidRPr="007E4FDB">
        <w:rPr>
          <w:rFonts w:ascii="Arial" w:hAnsi="Arial" w:cs="Arial"/>
          <w:color w:val="000000" w:themeColor="text1"/>
          <w:sz w:val="24"/>
          <w:szCs w:val="24"/>
          <w:lang w:val="en-US"/>
        </w:rPr>
        <w:t>MARK D. IAFRATI and THOMAS F. O’DONNELL Jr.</w:t>
      </w:r>
      <w:proofErr w:type="gramEnd"/>
    </w:p>
    <w:p w:rsidR="00B60BC3" w:rsidRPr="00B60BC3" w:rsidRDefault="00B60BC3" w:rsidP="00B60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B60BC3">
        <w:rPr>
          <w:rFonts w:ascii="Arial" w:hAnsi="Arial" w:cs="Arial"/>
          <w:b/>
          <w:bCs/>
          <w:color w:val="000000" w:themeColor="text1"/>
          <w:sz w:val="24"/>
          <w:szCs w:val="24"/>
        </w:rPr>
        <w:t>Saphenous</w:t>
      </w:r>
      <w:proofErr w:type="spellEnd"/>
      <w:r w:rsidRPr="00B60BC3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proofErr w:type="spellStart"/>
      <w:r w:rsidRPr="00B60BC3">
        <w:rPr>
          <w:rFonts w:ascii="Arial" w:hAnsi="Arial" w:cs="Arial"/>
          <w:b/>
          <w:bCs/>
          <w:color w:val="000000" w:themeColor="text1"/>
          <w:sz w:val="24"/>
          <w:szCs w:val="24"/>
        </w:rPr>
        <w:t>Sparing</w:t>
      </w:r>
      <w:proofErr w:type="spellEnd"/>
      <w:r w:rsidRPr="00B60B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Operations </w:t>
      </w:r>
    </w:p>
    <w:p w:rsidR="00B60BC3" w:rsidRPr="007E4FDB" w:rsidRDefault="00B60BC3" w:rsidP="00B60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7E4FDB">
        <w:rPr>
          <w:rFonts w:ascii="Arial" w:hAnsi="Arial" w:cs="Arial"/>
          <w:i/>
          <w:iCs/>
          <w:color w:val="000000" w:themeColor="text1"/>
          <w:sz w:val="24"/>
          <w:szCs w:val="24"/>
        </w:rPr>
        <w:t>Conservatrice et Hémodynamique de l’Insuffisance</w:t>
      </w:r>
    </w:p>
    <w:p w:rsidR="00B60BC3" w:rsidRPr="007E4FDB" w:rsidRDefault="00B60BC3" w:rsidP="00B60BC3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proofErr w:type="gramStart"/>
      <w:r w:rsidRPr="007E4FDB">
        <w:rPr>
          <w:rFonts w:ascii="Arial" w:hAnsi="Arial" w:cs="Arial"/>
          <w:i/>
          <w:iCs/>
          <w:color w:val="000000" w:themeColor="text1"/>
          <w:sz w:val="24"/>
          <w:szCs w:val="24"/>
        </w:rPr>
        <w:t>veineuse</w:t>
      </w:r>
      <w:proofErr w:type="gramEnd"/>
      <w:r w:rsidRPr="007E4FDB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en Ambulatoire 2030</w:t>
      </w:r>
    </w:p>
    <w:p w:rsidR="00B60BC3" w:rsidRPr="007E4FDB" w:rsidRDefault="00B60BC3" w:rsidP="00B60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B60BC3" w:rsidRPr="007E4FDB" w:rsidRDefault="00B60BC3" w:rsidP="00853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sectPr w:rsidR="00B60BC3" w:rsidRPr="007E4FDB" w:rsidSect="00F5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F0"/>
    <w:rsid w:val="004951F0"/>
    <w:rsid w:val="004F44E9"/>
    <w:rsid w:val="007E4FDB"/>
    <w:rsid w:val="00853066"/>
    <w:rsid w:val="00895C00"/>
    <w:rsid w:val="00AB165A"/>
    <w:rsid w:val="00B60BC3"/>
    <w:rsid w:val="00F5511A"/>
    <w:rsid w:val="00F8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</TotalTime>
  <Pages>1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franceschi</dc:creator>
  <cp:keywords/>
  <dc:description/>
  <cp:lastModifiedBy>claude franceschi</cp:lastModifiedBy>
  <cp:revision>6</cp:revision>
  <dcterms:created xsi:type="dcterms:W3CDTF">2018-07-04T06:28:00Z</dcterms:created>
  <dcterms:modified xsi:type="dcterms:W3CDTF">2018-07-06T04:32:00Z</dcterms:modified>
</cp:coreProperties>
</file>