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F" w:rsidRPr="003261BF" w:rsidRDefault="003261BF" w:rsidP="002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185D2"/>
          <w:kern w:val="36"/>
          <w:sz w:val="29"/>
          <w:szCs w:val="29"/>
          <w:lang w:val="en-US" w:eastAsia="fr-FR"/>
        </w:rPr>
      </w:pPr>
      <w:r w:rsidRPr="003261BF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 </w:t>
      </w:r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I didn't treat but just visited the patient for the DUS diagnosis because the previous one was "normal</w:t>
      </w:r>
      <w:proofErr w:type="gramStart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" </w:t>
      </w:r>
      <w:r w:rsidR="00046DD8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and</w:t>
      </w:r>
      <w:proofErr w:type="gramEnd"/>
      <w:r w:rsidR="00046DD8"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D-</w:t>
      </w:r>
      <w:proofErr w:type="spellStart"/>
      <w:r w:rsidR="00046DD8"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dimères</w:t>
      </w:r>
      <w:proofErr w:type="spellEnd"/>
      <w:r w:rsidR="00046DD8"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</w:t>
      </w:r>
      <w:r w:rsidR="00046DD8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test was negative </w:t>
      </w:r>
      <w:r w:rsidRPr="003261BF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 </w:t>
      </w:r>
      <w:r w:rsidRPr="003261BF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In fact the first  DUS diagnosis  failed because the clot was just hidden between the 1st rib and the </w:t>
      </w:r>
      <w:proofErr w:type="spellStart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clavicula</w:t>
      </w:r>
      <w:proofErr w:type="spellEnd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and the </w:t>
      </w:r>
      <w:proofErr w:type="spellStart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angiologist</w:t>
      </w:r>
      <w:proofErr w:type="spellEnd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didn't have the idea to ask the patient to lift the shoulder in order to make it visible and scanned with  the US probe .</w:t>
      </w:r>
      <w:r w:rsidRPr="003261BF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 </w:t>
      </w:r>
      <w:r w:rsidRPr="003261BF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This </w:t>
      </w:r>
      <w:proofErr w:type="spellStart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angiologist</w:t>
      </w:r>
      <w:proofErr w:type="spellEnd"/>
      <w:r w:rsidRPr="003261BF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is not one of my pupils....and the teachers are not always excellent.</w:t>
      </w:r>
      <w:r w:rsidRPr="003261BF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242CAE" w:rsidRPr="00242CAE" w:rsidRDefault="00242CAE" w:rsidP="002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185D2"/>
          <w:kern w:val="36"/>
          <w:sz w:val="29"/>
          <w:szCs w:val="29"/>
          <w:lang w:eastAsia="fr-FR"/>
        </w:rPr>
      </w:pPr>
      <w:r w:rsidRPr="00242CAE">
        <w:rPr>
          <w:rFonts w:ascii="Times New Roman" w:eastAsia="Times New Roman" w:hAnsi="Times New Roman" w:cs="Times New Roman"/>
          <w:b/>
          <w:bCs/>
          <w:color w:val="3185D2"/>
          <w:kern w:val="36"/>
          <w:sz w:val="29"/>
          <w:szCs w:val="29"/>
          <w:lang w:eastAsia="fr-FR"/>
        </w:rPr>
        <w:t>Thrombose veineuse profonde du membre supérieur chez une violoniste : « le syndrome de l’archet »</w:t>
      </w:r>
      <w:r w:rsidRPr="00242CAE">
        <w:rPr>
          <w:rFonts w:ascii="Times New Roman" w:eastAsia="Times New Roman" w:hAnsi="Times New Roman" w:cs="Times New Roman"/>
          <w:b/>
          <w:bCs/>
          <w:color w:val="3185D2"/>
          <w:kern w:val="36"/>
          <w:sz w:val="29"/>
          <w:lang w:eastAsia="fr-FR"/>
        </w:rPr>
        <w:t> </w:t>
      </w:r>
      <w:r w:rsidRPr="00242CAE">
        <w:rPr>
          <w:rFonts w:ascii="Times New Roman" w:eastAsia="Times New Roman" w:hAnsi="Times New Roman" w:cs="Times New Roman"/>
          <w:b/>
          <w:bCs/>
          <w:color w:val="9B9B9B"/>
          <w:kern w:val="36"/>
          <w:sz w:val="16"/>
          <w:szCs w:val="16"/>
          <w:lang w:eastAsia="fr-FR"/>
        </w:rPr>
        <w:t>- 05/11/16</w:t>
      </w:r>
    </w:p>
    <w:p w:rsidR="00242CAE" w:rsidRPr="00242CAE" w:rsidRDefault="00242CAE" w:rsidP="00242CAE">
      <w:pPr>
        <w:spacing w:before="26" w:after="26" w:line="240" w:lineRule="auto"/>
        <w:outlineLvl w:val="1"/>
        <w:rPr>
          <w:rFonts w:ascii="Times New Roman" w:eastAsia="Times New Roman" w:hAnsi="Times New Roman" w:cs="Times New Roman"/>
          <w:i/>
          <w:iCs/>
          <w:color w:val="3185D2"/>
          <w:sz w:val="18"/>
          <w:szCs w:val="18"/>
          <w:lang w:val="en-US" w:eastAsia="fr-FR"/>
        </w:rPr>
      </w:pPr>
      <w:r w:rsidRPr="00242CAE">
        <w:rPr>
          <w:rFonts w:ascii="Times New Roman" w:eastAsia="Times New Roman" w:hAnsi="Times New Roman" w:cs="Times New Roman"/>
          <w:i/>
          <w:iCs/>
          <w:color w:val="3185D2"/>
          <w:sz w:val="18"/>
          <w:szCs w:val="18"/>
          <w:lang w:val="en-US" w:eastAsia="fr-FR"/>
        </w:rPr>
        <w:t>Deep venous thrombosis of the upper limb in a violin player: The “bow syndrome”</w:t>
      </w:r>
    </w:p>
    <w:p w:rsidR="00242CAE" w:rsidRPr="00242CAE" w:rsidRDefault="00242CAE" w:rsidP="00242CA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</w:pPr>
      <w:proofErr w:type="spellStart"/>
      <w:r w:rsidRPr="00242CAE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t>Doi</w:t>
      </w:r>
      <w:proofErr w:type="spellEnd"/>
      <w:r w:rsidRPr="00242CAE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t xml:space="preserve"> : 10.1016/j.jmv.2016.10.004 </w:t>
      </w:r>
    </w:p>
    <w:p w:rsidR="00242CAE" w:rsidRPr="00242CAE" w:rsidRDefault="00242CAE" w:rsidP="00242CAE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</w:pPr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H. Sanson</w:t>
      </w:r>
      <w:r w:rsidRPr="00242CAE">
        <w:rPr>
          <w:rFonts w:ascii="Verdana" w:eastAsia="Times New Roman" w:hAnsi="Verdana" w:cs="Times New Roman"/>
          <w:b/>
          <w:bCs/>
          <w:color w:val="565656"/>
          <w:sz w:val="16"/>
          <w:lang w:eastAsia="fr-FR"/>
        </w:rPr>
        <w:t> </w:t>
      </w:r>
      <w:hyperlink r:id="rId5" w:anchor="COR0005" w:history="1">
        <w:r w:rsidRPr="00242CAE">
          <w:rPr>
            <w:rFonts w:ascii="Verdana" w:eastAsia="Times New Roman" w:hAnsi="Verdana" w:cs="Verdana"/>
            <w:b/>
            <w:bCs/>
            <w:color w:val="FF6600"/>
            <w:sz w:val="13"/>
            <w:u w:val="single"/>
            <w:vertAlign w:val="superscript"/>
            <w:lang w:eastAsia="fr-FR"/>
          </w:rPr>
          <w:t>⁎</w:t>
        </w:r>
      </w:hyperlink>
      <w:r w:rsidRPr="00242CAE">
        <w:rPr>
          <w:rFonts w:ascii="Verdana" w:eastAsia="Times New Roman" w:hAnsi="Verdana" w:cs="Times New Roman"/>
          <w:b/>
          <w:bCs/>
          <w:color w:val="565656"/>
          <w:sz w:val="16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FF6600"/>
          <w:sz w:val="16"/>
          <w:szCs w:val="16"/>
          <w:lang w:eastAsia="fr-FR"/>
        </w:rPr>
        <w:drawing>
          <wp:inline distT="0" distB="0" distL="0" distR="0">
            <wp:extent cx="156210" cy="156210"/>
            <wp:effectExtent l="19050" t="0" r="0" b="0"/>
            <wp:docPr id="1" name="Image 1" descr="http://www.em-consulte.com/templates/common/images/mai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-consulte.com/templates/common/images/mai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, V. Gautier, A. </w:t>
      </w:r>
      <w:proofErr w:type="spellStart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Stansal</w:t>
      </w:r>
      <w:proofErr w:type="spellEnd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, D. </w:t>
      </w:r>
      <w:proofErr w:type="spellStart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Sfeir</w:t>
      </w:r>
      <w:proofErr w:type="spellEnd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, C. Franceschi, P. </w:t>
      </w:r>
      <w:proofErr w:type="spellStart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Priollet</w:t>
      </w:r>
      <w:proofErr w:type="spellEnd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br/>
      </w:r>
      <w:bookmarkStart w:id="0" w:name="AFF0005"/>
      <w:bookmarkEnd w:id="0"/>
    </w:p>
    <w:p w:rsidR="00242CAE" w:rsidRPr="00242CAE" w:rsidRDefault="00242CAE" w:rsidP="00242CAE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</w:pPr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 Service de médecine vasculaire, groupe hospitalier Paris Saint-Joseph, 185, rue Raymond-</w:t>
      </w:r>
      <w:proofErr w:type="spellStart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Losserand</w:t>
      </w:r>
      <w:proofErr w:type="spellEnd"/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t>, 75674 Paris cedex 14, France </w:t>
      </w:r>
    </w:p>
    <w:p w:rsidR="00242CAE" w:rsidRPr="00242CAE" w:rsidRDefault="00242CAE" w:rsidP="00242CAE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</w:pPr>
      <w:r w:rsidRPr="00242CAE">
        <w:rPr>
          <w:rFonts w:ascii="Verdana" w:eastAsia="Times New Roman" w:hAnsi="Verdana" w:cs="Times New Roman"/>
          <w:b/>
          <w:bCs/>
          <w:color w:val="565656"/>
          <w:sz w:val="16"/>
          <w:szCs w:val="16"/>
          <w:lang w:eastAsia="fr-FR"/>
        </w:rPr>
        <w:br/>
      </w:r>
      <w:bookmarkStart w:id="1" w:name="COR0005"/>
      <w:bookmarkEnd w:id="1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2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before="26" w:after="65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E05800"/>
                <w:sz w:val="29"/>
                <w:szCs w:val="29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i/>
                <w:iCs/>
                <w:color w:val="E05800"/>
                <w:sz w:val="29"/>
                <w:szCs w:val="29"/>
                <w:lang w:eastAsia="fr-FR"/>
              </w:rPr>
              <w:t>Résumé</w:t>
            </w:r>
          </w:p>
        </w:tc>
      </w:tr>
    </w:tbl>
    <w:p w:rsidR="00242CAE" w:rsidRPr="00242CAE" w:rsidRDefault="00242CAE" w:rsidP="00242CAE">
      <w:pPr>
        <w:shd w:val="clear" w:color="auto" w:fill="FFFFFF"/>
        <w:spacing w:after="130" w:line="240" w:lineRule="auto"/>
        <w:jc w:val="both"/>
        <w:rPr>
          <w:rFonts w:ascii="Verdana" w:eastAsia="Times New Roman" w:hAnsi="Verdana" w:cs="Arial"/>
          <w:vanish/>
          <w:color w:val="565656"/>
          <w:sz w:val="16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5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Introduction</w:t>
            </w:r>
          </w:p>
        </w:tc>
      </w:tr>
    </w:tbl>
    <w:p w:rsidR="00242CAE" w:rsidRPr="00242CAE" w:rsidRDefault="00242CAE" w:rsidP="00242CAE">
      <w:pPr>
        <w:shd w:val="clear" w:color="auto" w:fill="FFFFFF"/>
        <w:spacing w:before="26" w:after="130" w:line="195" w:lineRule="atLeast"/>
        <w:ind w:right="324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La thrombose veineuse d’effort est une cause rare de thrombose veineuse profonde du membre supérieur (TVPMS) touchant les sujets jeunes et sans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comorbidité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. Le diagnostic n’est pas toujours facilement évoqué.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12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Cas clinique</w:t>
            </w:r>
          </w:p>
        </w:tc>
      </w:tr>
    </w:tbl>
    <w:p w:rsidR="00242CAE" w:rsidRPr="00242CAE" w:rsidRDefault="00242CAE" w:rsidP="00242CAE">
      <w:pPr>
        <w:shd w:val="clear" w:color="auto" w:fill="FFFFFF"/>
        <w:spacing w:after="130" w:line="195" w:lineRule="atLeast"/>
        <w:ind w:right="324"/>
        <w:jc w:val="both"/>
        <w:rPr>
          <w:rFonts w:ascii="Verdana" w:eastAsia="Times New Roman" w:hAnsi="Verdana" w:cs="Arial"/>
          <w:color w:val="565656"/>
          <w:sz w:val="16"/>
          <w:szCs w:val="16"/>
          <w:lang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Nous rapportons le cas d’une jeune femme de 23 ans, professeur de français, droitière, sous contraception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estroprogestative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, violoniste, ayant récemment modifié sa façon de jouer, qui présentait un œdème de la racine du bras droit associé à une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érythrocyanose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 de déclivité et à une circulation collatérale du moignon de l’épaule. Les D-dimères étaient négatifs. La TVP sous-clavière droite n’était objectivée que sur le deuxième écho-Doppler. Le choix était fait d’un traitement anticoagulant seul par héparine de bas poids moléculaire relayé par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rivaroxaban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, permettant une évolution très satisfaisante à 48heures, et ce jusqu’à 4 mois de l’épisode, date où la patiente a été revue.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5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Discussion</w:t>
            </w:r>
          </w:p>
        </w:tc>
      </w:tr>
    </w:tbl>
    <w:p w:rsidR="00242CAE" w:rsidRPr="00242CAE" w:rsidRDefault="00242CAE" w:rsidP="00242CAE">
      <w:pPr>
        <w:shd w:val="clear" w:color="auto" w:fill="FFFFFF"/>
        <w:spacing w:before="26" w:after="130" w:line="195" w:lineRule="atLeast"/>
        <w:ind w:right="324"/>
        <w:jc w:val="both"/>
        <w:rPr>
          <w:rFonts w:ascii="Verdana" w:eastAsia="Times New Roman" w:hAnsi="Verdana" w:cs="Arial"/>
          <w:color w:val="565656"/>
          <w:sz w:val="16"/>
          <w:szCs w:val="16"/>
          <w:lang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Le diagnostic de TVPMS est avant tout un diagnostic clinique. Un score de probabilité clinique existe et permet d’introduire une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anticoagulation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 même si la TVP n’est pas objectivée par écho-Doppler, ce qui est possible compte tenu de la superposition claviculaire dans cette région. La suspicion de TVP d’effort doit faire rechercher une activité pouvant paraître peu intense mais répétée (en hyper-abduction) comme ici la pratique du violon. Le traitement de ces thromboses repose sur les anticoagulants tandis que la place de la chirurgie et des méthodes pharmaco-mécaniques doit encore être précisée.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32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Conclusion</w:t>
            </w:r>
          </w:p>
        </w:tc>
      </w:tr>
    </w:tbl>
    <w:p w:rsidR="00242CAE" w:rsidRPr="00242CAE" w:rsidRDefault="00242CAE" w:rsidP="00242CAE">
      <w:pPr>
        <w:shd w:val="clear" w:color="auto" w:fill="FFFFFF"/>
        <w:spacing w:before="26" w:after="130" w:line="195" w:lineRule="atLeast"/>
        <w:ind w:right="324"/>
        <w:jc w:val="both"/>
        <w:rPr>
          <w:rFonts w:ascii="Verdana" w:eastAsia="Times New Roman" w:hAnsi="Verdana" w:cs="Arial"/>
          <w:color w:val="565656"/>
          <w:sz w:val="16"/>
          <w:szCs w:val="16"/>
          <w:lang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Devant une thrombose du membre supérieur chez un sujet jeune et sans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comorbidité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, une thrombose d’effort (syndrome de Paget-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Schroetter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) doit être évoquée facilement. Des études comparant les différentes options thérapeutiques pourraient permettre d’homogénéiser les prises en charge, malgré l’hétérogénéité des situations cliniques.</w:t>
      </w:r>
    </w:p>
    <w:p w:rsidR="00242CAE" w:rsidRPr="00242CAE" w:rsidRDefault="00242CAE" w:rsidP="00242CAE">
      <w:pPr>
        <w:shd w:val="clear" w:color="auto" w:fill="FFFFFF"/>
        <w:spacing w:after="13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Le texte complet de cet article est disponible en PDF.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6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before="26" w:after="65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E05800"/>
                <w:sz w:val="29"/>
                <w:szCs w:val="29"/>
                <w:lang w:eastAsia="fr-FR"/>
              </w:rPr>
            </w:pPr>
            <w:proofErr w:type="spellStart"/>
            <w:r w:rsidRPr="00242CAE">
              <w:rPr>
                <w:rFonts w:ascii="Times New Roman" w:eastAsia="Times New Roman" w:hAnsi="Times New Roman" w:cs="Times New Roman"/>
                <w:i/>
                <w:iCs/>
                <w:color w:val="E05800"/>
                <w:sz w:val="29"/>
                <w:szCs w:val="29"/>
                <w:lang w:eastAsia="fr-FR"/>
              </w:rPr>
              <w:t>Summary</w:t>
            </w:r>
            <w:proofErr w:type="spellEnd"/>
          </w:p>
        </w:tc>
      </w:tr>
    </w:tbl>
    <w:p w:rsidR="00242CAE" w:rsidRPr="00242CAE" w:rsidRDefault="00242CAE" w:rsidP="00242CAE">
      <w:pPr>
        <w:shd w:val="clear" w:color="auto" w:fill="FFFFFF"/>
        <w:spacing w:after="130" w:line="240" w:lineRule="auto"/>
        <w:jc w:val="both"/>
        <w:rPr>
          <w:rFonts w:ascii="Verdana" w:eastAsia="Times New Roman" w:hAnsi="Verdana" w:cs="Arial"/>
          <w:vanish/>
          <w:color w:val="565656"/>
          <w:sz w:val="16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17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Background</w:t>
            </w:r>
          </w:p>
        </w:tc>
      </w:tr>
    </w:tbl>
    <w:p w:rsidR="00242CAE" w:rsidRPr="00242CAE" w:rsidRDefault="00242CAE" w:rsidP="00242CAE">
      <w:pPr>
        <w:shd w:val="clear" w:color="auto" w:fill="FFFFFF"/>
        <w:spacing w:before="26" w:after="130" w:line="195" w:lineRule="atLeast"/>
        <w:ind w:right="324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Exercise-induced thrombosis is a rare cause of deep venous thrombosis (DVT) of the upper limb and usually affects young subjects without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comorbid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conditions. </w:t>
      </w:r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The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diagnosis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may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be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 xml:space="preserve">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challenging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eastAsia="fr-F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4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Case report</w:t>
            </w:r>
          </w:p>
        </w:tc>
      </w:tr>
    </w:tbl>
    <w:p w:rsidR="00242CAE" w:rsidRPr="00242CAE" w:rsidRDefault="00242CAE" w:rsidP="00242CAE">
      <w:pPr>
        <w:shd w:val="clear" w:color="auto" w:fill="FFFFFF"/>
        <w:spacing w:after="130" w:line="195" w:lineRule="atLeast"/>
        <w:ind w:right="324"/>
        <w:jc w:val="both"/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A 23-year-old female right-handed French teacher and amateur violin player presented with edema of the root of the right arm associated with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erythrocyanosis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of the extremity and collateral circulation of the shoulder. History taking revealed oral contraception and recent change in violin playing habits. D-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dimers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were negative. A second duplex-Doppler was required before visualization of a DVT in the right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subclavian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vein. The patient was given low-molecular-weight heparin alone, followed by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rivaroxaban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. The outcome was very favorable at 48h. The patient was seen at 4 months and had not had a recurrent episode.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5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Discussion</w:t>
            </w:r>
          </w:p>
        </w:tc>
      </w:tr>
    </w:tbl>
    <w:p w:rsidR="00242CAE" w:rsidRPr="00242CAE" w:rsidRDefault="00242CAE" w:rsidP="00242CAE">
      <w:pPr>
        <w:shd w:val="clear" w:color="auto" w:fill="FFFFFF"/>
        <w:spacing w:before="26" w:after="130" w:line="195" w:lineRule="atLeast"/>
        <w:ind w:right="324"/>
        <w:jc w:val="both"/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The diagnosis of DVT of the upper limb is basically clinical. There is a clinical probability score for the introduction of anticoagulation even if the duplex-Doppler fails to visualize DVT, a situation that can occur </w:t>
      </w:r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lastRenderedPageBreak/>
        <w:t xml:space="preserve">due to the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clavicular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superposition in this region. Exercise-induced DVT should be suspected in patients with minimally intense but repeated exercise (hyper-abduction), e.g. as here playing the violin. Anticoagulation is the treatment of choice. The role for surgery and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pharmacomechanical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strategies remains to be defined.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32"/>
      </w:tblGrid>
      <w:tr w:rsidR="00242CAE" w:rsidRPr="00242CAE" w:rsidTr="0024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AE" w:rsidRPr="00242CAE" w:rsidRDefault="00242CAE" w:rsidP="00242CAE">
            <w:pPr>
              <w:spacing w:after="65" w:line="240" w:lineRule="auto"/>
              <w:ind w:left="259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</w:pPr>
            <w:r w:rsidRPr="00242CAE">
              <w:rPr>
                <w:rFonts w:ascii="Times New Roman" w:eastAsia="Times New Roman" w:hAnsi="Times New Roman" w:cs="Times New Roman"/>
                <w:b/>
                <w:bCs/>
                <w:color w:val="00486D"/>
                <w:sz w:val="17"/>
                <w:szCs w:val="17"/>
                <w:lang w:eastAsia="fr-FR"/>
              </w:rPr>
              <w:t>Conclusion</w:t>
            </w:r>
          </w:p>
        </w:tc>
      </w:tr>
    </w:tbl>
    <w:p w:rsidR="00242CAE" w:rsidRPr="00242CAE" w:rsidRDefault="00242CAE" w:rsidP="00242CAE">
      <w:pPr>
        <w:shd w:val="clear" w:color="auto" w:fill="FFFFFF"/>
        <w:spacing w:before="26" w:after="130" w:line="195" w:lineRule="atLeast"/>
        <w:ind w:right="324"/>
        <w:jc w:val="both"/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</w:pPr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Exercise-induced thrombosis (Paget-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Schroetter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syndrome) should be suspected in young patients free of any </w:t>
      </w:r>
      <w:proofErr w:type="spellStart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>comorbidity</w:t>
      </w:r>
      <w:proofErr w:type="spellEnd"/>
      <w:r w:rsidRPr="00242CAE">
        <w:rPr>
          <w:rFonts w:ascii="Verdana" w:eastAsia="Times New Roman" w:hAnsi="Verdana" w:cs="Arial"/>
          <w:color w:val="565656"/>
          <w:sz w:val="16"/>
          <w:szCs w:val="16"/>
          <w:lang w:val="en-US" w:eastAsia="fr-FR"/>
        </w:rPr>
        <w:t xml:space="preserve"> who develop a thrombosis of the upper limb. Studies comparing different therapeutic options would be useful to achieve more homogeneous management practices despite the heterogeneous clinical presentations.</w:t>
      </w:r>
    </w:p>
    <w:p w:rsidR="00242CAE" w:rsidRPr="00242CAE" w:rsidRDefault="00242CAE" w:rsidP="00242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Le texte complet de cet article est disponible en PDF.</w:t>
      </w:r>
    </w:p>
    <w:p w:rsidR="00242CAE" w:rsidRPr="00242CAE" w:rsidRDefault="00242CAE" w:rsidP="00242CAE">
      <w:pPr>
        <w:shd w:val="clear" w:color="auto" w:fill="FFFFFF"/>
        <w:spacing w:after="0" w:line="195" w:lineRule="atLeast"/>
        <w:ind w:right="324"/>
        <w:rPr>
          <w:rFonts w:ascii="Verdana" w:eastAsia="Times New Roman" w:hAnsi="Verdana" w:cs="Arial"/>
          <w:color w:val="000000"/>
          <w:sz w:val="16"/>
          <w:szCs w:val="16"/>
          <w:lang w:eastAsia="fr-FR"/>
        </w:rPr>
      </w:pPr>
      <w:r w:rsidRPr="00242CAE">
        <w:rPr>
          <w:rFonts w:ascii="Verdana" w:eastAsia="Times New Roman" w:hAnsi="Verdana" w:cs="Arial"/>
          <w:b/>
          <w:bCs/>
          <w:i/>
          <w:iCs/>
          <w:color w:val="565656"/>
          <w:sz w:val="16"/>
          <w:lang w:eastAsia="fr-FR"/>
        </w:rPr>
        <w:t>Mots clés : </w:t>
      </w:r>
      <w:r w:rsidRPr="00242CAE">
        <w:rPr>
          <w:rFonts w:ascii="Verdana" w:eastAsia="Times New Roman" w:hAnsi="Verdana" w:cs="Arial"/>
          <w:i/>
          <w:iCs/>
          <w:color w:val="565656"/>
          <w:sz w:val="16"/>
          <w:lang w:eastAsia="fr-FR"/>
        </w:rPr>
        <w:t>Thrombose veineuse d’effort, Thrombose veineuse du membre supérieur, Syndrome de Paget-</w:t>
      </w:r>
      <w:proofErr w:type="spellStart"/>
      <w:r w:rsidRPr="00242CAE">
        <w:rPr>
          <w:rFonts w:ascii="Verdana" w:eastAsia="Times New Roman" w:hAnsi="Verdana" w:cs="Arial"/>
          <w:i/>
          <w:iCs/>
          <w:color w:val="565656"/>
          <w:sz w:val="16"/>
          <w:lang w:eastAsia="fr-FR"/>
        </w:rPr>
        <w:t>Schroetter</w:t>
      </w:r>
      <w:proofErr w:type="spellEnd"/>
    </w:p>
    <w:p w:rsidR="00242CAE" w:rsidRPr="00242CAE" w:rsidRDefault="00242CAE" w:rsidP="00242CAE">
      <w:pPr>
        <w:shd w:val="clear" w:color="auto" w:fill="FFFFFF"/>
        <w:spacing w:after="0" w:line="195" w:lineRule="atLeast"/>
        <w:ind w:right="324"/>
        <w:rPr>
          <w:rFonts w:ascii="Verdana" w:eastAsia="Times New Roman" w:hAnsi="Verdana" w:cs="Arial"/>
          <w:color w:val="000000"/>
          <w:sz w:val="16"/>
          <w:szCs w:val="16"/>
          <w:lang w:val="en-US" w:eastAsia="fr-FR"/>
        </w:rPr>
      </w:pPr>
      <w:proofErr w:type="gramStart"/>
      <w:r w:rsidRPr="00242CAE">
        <w:rPr>
          <w:rFonts w:ascii="Verdana" w:eastAsia="Times New Roman" w:hAnsi="Verdana" w:cs="Arial"/>
          <w:b/>
          <w:bCs/>
          <w:i/>
          <w:iCs/>
          <w:color w:val="565656"/>
          <w:sz w:val="16"/>
          <w:lang w:val="en-US" w:eastAsia="fr-FR"/>
        </w:rPr>
        <w:t>Keywords :</w:t>
      </w:r>
      <w:proofErr w:type="gramEnd"/>
      <w:r w:rsidRPr="00242CAE">
        <w:rPr>
          <w:rFonts w:ascii="Verdana" w:eastAsia="Times New Roman" w:hAnsi="Verdana" w:cs="Arial"/>
          <w:b/>
          <w:bCs/>
          <w:i/>
          <w:iCs/>
          <w:color w:val="565656"/>
          <w:sz w:val="16"/>
          <w:lang w:val="en-US" w:eastAsia="fr-FR"/>
        </w:rPr>
        <w:t> </w:t>
      </w:r>
      <w:r w:rsidRPr="00242CAE">
        <w:rPr>
          <w:rFonts w:ascii="Verdana" w:eastAsia="Times New Roman" w:hAnsi="Verdana" w:cs="Arial"/>
          <w:i/>
          <w:iCs/>
          <w:color w:val="565656"/>
          <w:sz w:val="16"/>
          <w:lang w:val="en-US" w:eastAsia="fr-FR"/>
        </w:rPr>
        <w:t>Exercise-induced venous thrombosis, Deep venous thrombosis, Upper limb, Paget-</w:t>
      </w:r>
      <w:proofErr w:type="spellStart"/>
      <w:r w:rsidRPr="00242CAE">
        <w:rPr>
          <w:rFonts w:ascii="Verdana" w:eastAsia="Times New Roman" w:hAnsi="Verdana" w:cs="Arial"/>
          <w:i/>
          <w:iCs/>
          <w:color w:val="565656"/>
          <w:sz w:val="16"/>
          <w:lang w:val="en-US" w:eastAsia="fr-FR"/>
        </w:rPr>
        <w:t>Schroetter</w:t>
      </w:r>
      <w:proofErr w:type="spellEnd"/>
    </w:p>
    <w:p w:rsidR="00242CAE" w:rsidRPr="00242CAE" w:rsidRDefault="00242CAE" w:rsidP="00242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</w:pPr>
    </w:p>
    <w:p w:rsidR="00242CAE" w:rsidRPr="00242CAE" w:rsidRDefault="00242CAE" w:rsidP="00242CAE">
      <w:pPr>
        <w:shd w:val="clear" w:color="auto" w:fill="FFFFFF"/>
        <w:spacing w:before="26" w:after="65" w:line="240" w:lineRule="auto"/>
        <w:jc w:val="both"/>
        <w:outlineLvl w:val="1"/>
        <w:rPr>
          <w:rFonts w:ascii="Arial" w:eastAsia="Times New Roman" w:hAnsi="Arial" w:cs="Arial"/>
          <w:i/>
          <w:iCs/>
          <w:color w:val="E05800"/>
          <w:sz w:val="29"/>
          <w:szCs w:val="29"/>
          <w:lang w:eastAsia="fr-FR"/>
        </w:rPr>
      </w:pPr>
      <w:r w:rsidRPr="00242CAE">
        <w:rPr>
          <w:rFonts w:ascii="Arial" w:eastAsia="Times New Roman" w:hAnsi="Arial" w:cs="Arial"/>
          <w:i/>
          <w:iCs/>
          <w:color w:val="E05800"/>
          <w:sz w:val="29"/>
          <w:szCs w:val="29"/>
          <w:lang w:eastAsia="fr-FR"/>
        </w:rPr>
        <w:t>Plan</w:t>
      </w:r>
    </w:p>
    <w:p w:rsidR="00242CAE" w:rsidRPr="00242CAE" w:rsidRDefault="00242CAE" w:rsidP="00242CAE">
      <w:pPr>
        <w:shd w:val="clear" w:color="auto" w:fill="FFFFFF"/>
        <w:spacing w:after="65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Introduction</w:t>
      </w:r>
    </w:p>
    <w:p w:rsidR="00242CAE" w:rsidRPr="00242CAE" w:rsidRDefault="00242CAE" w:rsidP="00242CAE">
      <w:pPr>
        <w:shd w:val="clear" w:color="auto" w:fill="FFFFFF"/>
        <w:spacing w:after="65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Cas clinique</w:t>
      </w:r>
    </w:p>
    <w:p w:rsidR="00242CAE" w:rsidRPr="00242CAE" w:rsidRDefault="00242CAE" w:rsidP="00242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Discussion</w:t>
      </w:r>
    </w:p>
    <w:p w:rsidR="00242CAE" w:rsidRPr="00242CAE" w:rsidRDefault="00242CAE" w:rsidP="00242CAE">
      <w:pPr>
        <w:shd w:val="clear" w:color="auto" w:fill="FFFFFF"/>
        <w:spacing w:after="39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La forte suspicion clinique de TVP du membre supérieur doit faire réitérer l’écho-Doppler</w:t>
      </w:r>
    </w:p>
    <w:p w:rsidR="00242CAE" w:rsidRPr="00242CAE" w:rsidRDefault="00242CAE" w:rsidP="00242CAE">
      <w:pPr>
        <w:shd w:val="clear" w:color="auto" w:fill="FFFFFF"/>
        <w:spacing w:after="39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Des arguments simples permettent d’évoquer une thrombose d’effort</w:t>
      </w:r>
    </w:p>
    <w:p w:rsidR="00242CAE" w:rsidRPr="00242CAE" w:rsidRDefault="00242CAE" w:rsidP="00242CAE">
      <w:pPr>
        <w:shd w:val="clear" w:color="auto" w:fill="FFFFFF"/>
        <w:spacing w:after="65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Les anticoagulants restent le traitement de référence des TVP du membre supérieur tandis que les indications des méthodes pharmaco-mécaniques doivent être précisées</w:t>
      </w:r>
    </w:p>
    <w:p w:rsidR="00242CAE" w:rsidRPr="00242CAE" w:rsidRDefault="00242CAE" w:rsidP="00242CAE">
      <w:pPr>
        <w:shd w:val="clear" w:color="auto" w:fill="FFFFFF"/>
        <w:spacing w:after="65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Conclusion</w:t>
      </w:r>
    </w:p>
    <w:p w:rsidR="00242CAE" w:rsidRPr="00242CAE" w:rsidRDefault="00242CAE" w:rsidP="00242CAE">
      <w:pPr>
        <w:shd w:val="clear" w:color="auto" w:fill="FFFFFF"/>
        <w:spacing w:after="13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242CAE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Déclaration de liens d’intérêts</w:t>
      </w:r>
    </w:p>
    <w:p w:rsidR="00F5511A" w:rsidRDefault="00F5511A"/>
    <w:sectPr w:rsidR="00F5511A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0AD3"/>
    <w:multiLevelType w:val="multilevel"/>
    <w:tmpl w:val="160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42CAE"/>
    <w:rsid w:val="00046DD8"/>
    <w:rsid w:val="00242CAE"/>
    <w:rsid w:val="003261BF"/>
    <w:rsid w:val="003C5901"/>
    <w:rsid w:val="00F5511A"/>
    <w:rsid w:val="00F7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A"/>
  </w:style>
  <w:style w:type="paragraph" w:styleId="Titre1">
    <w:name w:val="heading 1"/>
    <w:basedOn w:val="Normal"/>
    <w:link w:val="Titre1Car"/>
    <w:uiPriority w:val="9"/>
    <w:qFormat/>
    <w:rsid w:val="00242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42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42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C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2C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2C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2CAE"/>
  </w:style>
  <w:style w:type="character" w:styleId="Lienhypertexte">
    <w:name w:val="Hyperlink"/>
    <w:basedOn w:val="Policepardfaut"/>
    <w:uiPriority w:val="99"/>
    <w:unhideWhenUsed/>
    <w:rsid w:val="00242CAE"/>
    <w:rPr>
      <w:color w:val="0000FF"/>
      <w:u w:val="single"/>
    </w:rPr>
  </w:style>
  <w:style w:type="character" w:customStyle="1" w:styleId="textenormal">
    <w:name w:val="textenormal"/>
    <w:basedOn w:val="Policepardfaut"/>
    <w:rsid w:val="00242CAE"/>
  </w:style>
  <w:style w:type="paragraph" w:customStyle="1" w:styleId="textenormal1">
    <w:name w:val="textenormal1"/>
    <w:basedOn w:val="Normal"/>
    <w:rsid w:val="0024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2626">
          <w:marLeft w:val="0"/>
          <w:marRight w:val="0"/>
          <w:marTop w:val="195"/>
          <w:marBottom w:val="0"/>
          <w:divBdr>
            <w:top w:val="single" w:sz="4" w:space="0" w:color="ADB4B2"/>
            <w:left w:val="single" w:sz="4" w:space="0" w:color="ADB4B2"/>
            <w:bottom w:val="single" w:sz="4" w:space="0" w:color="ADB4B2"/>
            <w:right w:val="single" w:sz="4" w:space="0" w:color="ADB4B2"/>
          </w:divBdr>
          <w:divsChild>
            <w:div w:id="953170913">
              <w:marLeft w:val="0"/>
              <w:marRight w:val="0"/>
              <w:marTop w:val="0"/>
              <w:marBottom w:val="0"/>
              <w:divBdr>
                <w:top w:val="single" w:sz="4" w:space="7" w:color="000000"/>
                <w:left w:val="none" w:sz="0" w:space="0" w:color="auto"/>
                <w:bottom w:val="single" w:sz="4" w:space="7" w:color="000000"/>
                <w:right w:val="none" w:sz="0" w:space="0" w:color="auto"/>
              </w:divBdr>
            </w:div>
            <w:div w:id="1616864386">
              <w:marLeft w:val="259"/>
              <w:marRight w:val="259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303">
                      <w:marLeft w:val="259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045">
                      <w:marLeft w:val="259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3931">
                      <w:marLeft w:val="259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9223">
                          <w:marLeft w:val="169"/>
                          <w:marRight w:val="0"/>
                          <w:marTop w:val="39"/>
                          <w:marBottom w:val="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408">
                          <w:marLeft w:val="169"/>
                          <w:marRight w:val="0"/>
                          <w:marTop w:val="39"/>
                          <w:marBottom w:val="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9263">
                          <w:marLeft w:val="169"/>
                          <w:marRight w:val="0"/>
                          <w:marTop w:val="39"/>
                          <w:marBottom w:val="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057424">
                      <w:marLeft w:val="259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6383">
                      <w:marLeft w:val="259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anson@hpsj.fr" TargetMode="External"/><Relationship Id="rId5" Type="http://schemas.openxmlformats.org/officeDocument/2006/relationships/hyperlink" Target="http://www.em-consulte.com/article/1093333/thrombose-veineuse-profonde-du-membre-superieur-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9</cp:revision>
  <dcterms:created xsi:type="dcterms:W3CDTF">2016-11-24T10:58:00Z</dcterms:created>
  <dcterms:modified xsi:type="dcterms:W3CDTF">2016-11-25T09:45:00Z</dcterms:modified>
</cp:coreProperties>
</file>